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613FE8">
        <w:rPr>
          <w:rFonts w:ascii="Arial" w:hAnsi="Arial"/>
          <w:sz w:val="20"/>
          <w:szCs w:val="20"/>
        </w:rPr>
        <w:t>Nov. 12</w:t>
      </w:r>
      <w:r w:rsidR="00D97EC1">
        <w:rPr>
          <w:rFonts w:ascii="Arial" w:hAnsi="Arial"/>
          <w:sz w:val="20"/>
          <w:szCs w:val="20"/>
        </w:rPr>
        <w:t xml:space="preserve">, </w:t>
      </w:r>
      <w:r w:rsidR="006C2B88">
        <w:rPr>
          <w:rFonts w:ascii="Arial" w:hAnsi="Arial"/>
          <w:sz w:val="20"/>
          <w:szCs w:val="20"/>
        </w:rPr>
        <w:t>201</w:t>
      </w:r>
      <w:r w:rsidR="002647C9">
        <w:rPr>
          <w:rFonts w:ascii="Arial" w:hAnsi="Arial"/>
          <w:sz w:val="20"/>
          <w:szCs w:val="20"/>
        </w:rPr>
        <w:t>4</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2647C9">
        <w:rPr>
          <w:rFonts w:ascii="Arial" w:hAnsi="Arial"/>
          <w:sz w:val="20"/>
          <w:szCs w:val="20"/>
        </w:rPr>
        <w:t>11</w:t>
      </w:r>
      <w:r w:rsidR="006E6E6B">
        <w:rPr>
          <w:rFonts w:ascii="Arial" w:hAnsi="Arial"/>
          <w:sz w:val="20"/>
          <w:szCs w:val="20"/>
        </w:rPr>
        <w:t>:</w:t>
      </w:r>
      <w:r w:rsidR="00103545">
        <w:rPr>
          <w:rFonts w:ascii="Arial" w:hAnsi="Arial"/>
          <w:sz w:val="20"/>
          <w:szCs w:val="20"/>
        </w:rPr>
        <w:t>0</w:t>
      </w:r>
      <w:r w:rsidR="006C2B88">
        <w:rPr>
          <w:rFonts w:ascii="Arial" w:hAnsi="Arial"/>
          <w:sz w:val="20"/>
          <w:szCs w:val="20"/>
        </w:rPr>
        <w:t>0</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047040" w:rsidRPr="00047040" w:rsidRDefault="00047040" w:rsidP="00047040">
      <w:pPr>
        <w:autoSpaceDE w:val="0"/>
        <w:autoSpaceDN w:val="0"/>
        <w:ind w:left="720"/>
        <w:rPr>
          <w:rFonts w:ascii="Arial" w:eastAsia="Calibri" w:hAnsi="Arial" w:cs="Arial"/>
          <w:lang w:eastAsia="en-US"/>
        </w:rPr>
      </w:pPr>
      <w:r w:rsidRPr="00047040">
        <w:rPr>
          <w:rFonts w:ascii="Arial" w:eastAsia="Calibri" w:hAnsi="Arial" w:cs="Arial"/>
          <w:sz w:val="16"/>
          <w:szCs w:val="16"/>
          <w:lang w:eastAsia="en-US"/>
        </w:rPr>
        <w:br/>
      </w:r>
      <w:hyperlink r:id="rId6" w:history="1">
        <w:r w:rsidRPr="00047040">
          <w:rPr>
            <w:rFonts w:ascii="Arial" w:eastAsia="Calibri" w:hAnsi="Arial" w:cs="Arial"/>
            <w:color w:val="00AFF9"/>
            <w:u w:val="single"/>
            <w:lang w:eastAsia="en-US"/>
          </w:rPr>
          <w:t>Join WebEx meeting</w:t>
        </w:r>
      </w:hyperlink>
      <w:r w:rsidRPr="00047040">
        <w:rPr>
          <w:rFonts w:ascii="Arial" w:eastAsia="Calibri" w:hAnsi="Arial" w:cs="Arial"/>
          <w:sz w:val="28"/>
          <w:szCs w:val="28"/>
          <w:lang w:eastAsia="en-US"/>
        </w:rPr>
        <w:t xml:space="preserve"> </w:t>
      </w:r>
    </w:p>
    <w:p w:rsidR="00047040" w:rsidRPr="00047040" w:rsidRDefault="00047040" w:rsidP="00047040">
      <w:pPr>
        <w:autoSpaceDE w:val="0"/>
        <w:autoSpaceDN w:val="0"/>
        <w:ind w:firstLine="720"/>
        <w:rPr>
          <w:rFonts w:ascii="Arial" w:eastAsia="Calibri" w:hAnsi="Arial" w:cs="Arial"/>
          <w:lang w:eastAsia="en-US"/>
        </w:rPr>
      </w:pPr>
      <w:r w:rsidRPr="00047040">
        <w:rPr>
          <w:rFonts w:ascii="Arial" w:eastAsia="Calibri" w:hAnsi="Arial" w:cs="Arial"/>
          <w:color w:val="666666"/>
          <w:sz w:val="20"/>
          <w:szCs w:val="20"/>
          <w:lang w:eastAsia="en-US"/>
        </w:rPr>
        <w:t>Meeting number:</w:t>
      </w:r>
      <w:r w:rsidRPr="00047040">
        <w:rPr>
          <w:rFonts w:ascii="Arial" w:eastAsia="Calibri" w:hAnsi="Arial" w:cs="Arial"/>
          <w:lang w:eastAsia="en-US"/>
        </w:rPr>
        <w:t xml:space="preserve">           </w:t>
      </w:r>
      <w:r w:rsidRPr="00047040">
        <w:rPr>
          <w:rFonts w:ascii="Arial" w:eastAsia="Calibri" w:hAnsi="Arial" w:cs="Arial"/>
          <w:color w:val="666666"/>
          <w:sz w:val="20"/>
          <w:szCs w:val="20"/>
          <w:lang w:eastAsia="en-US"/>
        </w:rPr>
        <w:t>499 933 849</w:t>
      </w:r>
      <w:r w:rsidRPr="00047040">
        <w:rPr>
          <w:rFonts w:ascii="Arial" w:eastAsia="Calibri" w:hAnsi="Arial" w:cs="Arial"/>
          <w:lang w:eastAsia="en-US"/>
        </w:rPr>
        <w:t xml:space="preserve">      </w:t>
      </w:r>
    </w:p>
    <w:p w:rsidR="00CA7503" w:rsidRDefault="00047040" w:rsidP="00CA7503">
      <w:pPr>
        <w:ind w:left="720"/>
        <w:rPr>
          <w:rFonts w:ascii="Arial" w:hAnsi="Arial"/>
          <w:sz w:val="20"/>
          <w:szCs w:val="20"/>
        </w:rPr>
      </w:pP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t> </w:t>
      </w:r>
      <w:r w:rsidRPr="00047040">
        <w:rPr>
          <w:rFonts w:ascii="Arial" w:eastAsia="Calibri" w:hAnsi="Arial" w:cs="Arial"/>
          <w:sz w:val="16"/>
          <w:szCs w:val="16"/>
          <w:lang w:eastAsia="en-US"/>
        </w:rPr>
        <w:br/>
      </w:r>
      <w:r w:rsidRPr="00047040">
        <w:rPr>
          <w:rFonts w:ascii="Arial" w:eastAsia="Calibri" w:hAnsi="Arial" w:cs="Arial"/>
          <w:color w:val="666666"/>
          <w:lang w:eastAsia="en-US"/>
        </w:rPr>
        <w:t>Join by phone</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b/>
          <w:bCs/>
          <w:color w:val="666666"/>
          <w:sz w:val="20"/>
          <w:szCs w:val="20"/>
          <w:lang w:eastAsia="en-US"/>
        </w:rPr>
        <w:t>1-650-479-3208</w:t>
      </w:r>
      <w:r w:rsidRPr="00047040">
        <w:rPr>
          <w:rFonts w:ascii="Arial" w:eastAsia="Calibri" w:hAnsi="Arial" w:cs="Arial"/>
          <w:color w:val="666666"/>
          <w:sz w:val="20"/>
          <w:szCs w:val="20"/>
          <w:lang w:eastAsia="en-US"/>
        </w:rPr>
        <w:t> Call-in toll number (US/Canada)</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color w:val="666666"/>
          <w:sz w:val="20"/>
          <w:szCs w:val="20"/>
          <w:lang w:eastAsia="en-US"/>
        </w:rPr>
        <w:t>Access code: 499 933 849</w:t>
      </w:r>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hyperlink r:id="rId7" w:history="1">
        <w:r w:rsidRPr="00047040">
          <w:rPr>
            <w:rFonts w:ascii="Arial" w:eastAsia="Calibri" w:hAnsi="Arial" w:cs="Arial"/>
            <w:color w:val="00AFF9"/>
            <w:sz w:val="16"/>
            <w:szCs w:val="16"/>
            <w:u w:val="single"/>
            <w:lang w:eastAsia="en-US"/>
          </w:rPr>
          <w:t>Global call-in numbers</w:t>
        </w:r>
      </w:hyperlink>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r>
      <w:r w:rsidRPr="00047040">
        <w:rPr>
          <w:rFonts w:ascii="Arial" w:eastAsia="Calibri" w:hAnsi="Arial" w:cs="Arial"/>
          <w:color w:val="666666"/>
          <w:sz w:val="16"/>
          <w:szCs w:val="16"/>
          <w:lang w:eastAsia="en-US"/>
        </w:rPr>
        <w:t>Can't join the meeting?</w:t>
      </w:r>
      <w:r w:rsidRPr="00047040">
        <w:rPr>
          <w:rFonts w:ascii="Arial" w:eastAsia="Calibri" w:hAnsi="Arial" w:cs="Arial"/>
          <w:sz w:val="16"/>
          <w:szCs w:val="16"/>
          <w:lang w:eastAsia="en-US"/>
        </w:rPr>
        <w:t xml:space="preserve"> </w:t>
      </w:r>
      <w:hyperlink r:id="rId8" w:history="1">
        <w:r w:rsidRPr="00047040">
          <w:rPr>
            <w:rFonts w:ascii="Arial" w:eastAsia="Calibri" w:hAnsi="Arial" w:cs="Arial"/>
            <w:color w:val="00AFF9"/>
            <w:sz w:val="16"/>
            <w:szCs w:val="16"/>
            <w:u w:val="single"/>
            <w:lang w:eastAsia="en-US"/>
          </w:rPr>
          <w:t>Contact support.</w:t>
        </w:r>
      </w:hyperlink>
      <w:r w:rsidRPr="00047040">
        <w:rPr>
          <w:rFonts w:ascii="Arial" w:eastAsia="Calibri" w:hAnsi="Arial" w:cs="Arial"/>
          <w:sz w:val="16"/>
          <w:szCs w:val="16"/>
          <w:lang w:eastAsia="en-US"/>
        </w:rPr>
        <w:t xml:space="preserve">  </w:t>
      </w: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Vinayak Kulkarni</w:t>
            </w:r>
          </w:p>
        </w:tc>
        <w:tc>
          <w:tcPr>
            <w:tcW w:w="3690" w:type="dxa"/>
            <w:noWrap/>
            <w:hideMark/>
          </w:tcPr>
          <w:p w:rsidR="00A05F09" w:rsidRPr="00A05F09" w:rsidRDefault="007A0B4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Siemens</w:t>
            </w:r>
          </w:p>
        </w:tc>
        <w:tc>
          <w:tcPr>
            <w:tcW w:w="1015" w:type="dxa"/>
            <w:noWrap/>
            <w:hideMark/>
          </w:tcPr>
          <w:p w:rsidR="00A05F09" w:rsidRPr="00A05F09" w:rsidRDefault="002960CA"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2647C9"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202ED0" w:rsidRDefault="002647C9" w:rsidP="00202ED0">
      <w:pPr>
        <w:pStyle w:val="ListParagraph"/>
        <w:numPr>
          <w:ilvl w:val="0"/>
          <w:numId w:val="28"/>
        </w:numPr>
      </w:pPr>
      <w:r>
        <w:t xml:space="preserve">Review latest draft PHMR </w:t>
      </w:r>
      <w:r w:rsidR="00803248">
        <w:t>objects in Trifolia tool</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613FE8" w:rsidP="00C918B6">
      <w:r>
        <w:rPr>
          <w:sz w:val="20"/>
          <w:szCs w:val="20"/>
        </w:rPr>
        <w:t xml:space="preserve">Minutes from November 5, 2014 – </w:t>
      </w:r>
      <w:r w:rsidR="004B4DDA">
        <w:rPr>
          <w:sz w:val="20"/>
          <w:szCs w:val="20"/>
        </w:rPr>
        <w:t>approved</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803248"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Martin – </w:t>
      </w:r>
      <w:r w:rsidR="002B1296">
        <w:rPr>
          <w:rFonts w:ascii="Verdana" w:hAnsi="Verdana"/>
          <w:bCs/>
          <w:sz w:val="20"/>
          <w:szCs w:val="20"/>
        </w:rPr>
        <w:t xml:space="preserve">put </w:t>
      </w:r>
      <w:r w:rsidR="004B4DDA">
        <w:rPr>
          <w:rFonts w:ascii="Verdana" w:hAnsi="Verdana"/>
          <w:bCs/>
          <w:sz w:val="20"/>
          <w:szCs w:val="20"/>
        </w:rPr>
        <w:t xml:space="preserve">link to </w:t>
      </w:r>
      <w:r w:rsidR="002B1296">
        <w:rPr>
          <w:rFonts w:ascii="Verdana" w:hAnsi="Verdana"/>
          <w:bCs/>
          <w:sz w:val="20"/>
          <w:szCs w:val="20"/>
        </w:rPr>
        <w:t>the PHMR DSTU on the wiki.</w:t>
      </w:r>
    </w:p>
    <w:p w:rsidR="00CA7503"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bookmarkStart w:id="2" w:name="_GoBack"/>
      <w:bookmarkEnd w:id="2"/>
      <w:r>
        <w:rPr>
          <w:rFonts w:ascii="Verdana" w:hAnsi="Verdana"/>
          <w:bCs/>
          <w:sz w:val="20"/>
          <w:szCs w:val="20"/>
        </w:rPr>
        <w:t>Brian – draft other CCDA-consistent PHMR objects.</w:t>
      </w:r>
    </w:p>
    <w:p w:rsidR="004B4DDA" w:rsidRDefault="004B4DDA"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Brian – get edit access to Trifolia PHMR entries to VK and Martin</w:t>
      </w:r>
    </w:p>
    <w:p w:rsidR="00CA7503" w:rsidRDefault="00CA7503">
      <w:pPr>
        <w:rPr>
          <w:rFonts w:ascii="Verdana" w:hAnsi="Verdana"/>
          <w:bCs/>
          <w:sz w:val="20"/>
          <w:szCs w:val="20"/>
        </w:rPr>
      </w:pPr>
      <w:r>
        <w:rPr>
          <w:rFonts w:ascii="Verdana" w:hAnsi="Verdana"/>
          <w:bCs/>
          <w:sz w:val="20"/>
          <w:szCs w:val="20"/>
        </w:rPr>
        <w:br w:type="page"/>
      </w:r>
    </w:p>
    <w:p w:rsidR="00202ED0" w:rsidRPr="002C0E5D" w:rsidRDefault="00803248" w:rsidP="00CA7503">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lastRenderedPageBreak/>
        <w:t>Review latest draft PHMR objects in Trifolia tool</w:t>
      </w:r>
    </w:p>
    <w:p w:rsidR="007A0B4A" w:rsidRDefault="007A0B4A"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Introductions</w:t>
      </w:r>
      <w:r w:rsidR="005D27A1">
        <w:rPr>
          <w:rFonts w:ascii="Verdana" w:hAnsi="Verdana"/>
          <w:bCs/>
          <w:sz w:val="20"/>
          <w:szCs w:val="20"/>
        </w:rPr>
        <w:t xml:space="preserve"> – brief introduction between VK and Brian.</w:t>
      </w:r>
    </w:p>
    <w:p w:rsidR="007A0B4A" w:rsidRDefault="007A0B4A" w:rsidP="007A0B4A">
      <w:pPr>
        <w:pStyle w:val="NormalWeb"/>
        <w:spacing w:before="0" w:beforeAutospacing="0" w:after="200" w:afterAutospacing="0" w:line="276" w:lineRule="auto"/>
        <w:ind w:left="720" w:hanging="720"/>
        <w:contextualSpacing/>
        <w:jc w:val="both"/>
        <w:outlineLvl w:val="0"/>
        <w:rPr>
          <w:rFonts w:ascii="Verdana" w:hAnsi="Verdana"/>
          <w:bCs/>
          <w:sz w:val="20"/>
          <w:szCs w:val="20"/>
        </w:rPr>
      </w:pPr>
      <w:r>
        <w:rPr>
          <w:rFonts w:ascii="Verdana" w:hAnsi="Verdana"/>
          <w:bCs/>
          <w:sz w:val="20"/>
          <w:szCs w:val="20"/>
        </w:rPr>
        <w:t xml:space="preserve">Status – Universal header is drafted and presented to SDWG. What we now focus on is the clinical statements based on the DSTU document. We focus on the device generated data only. For device data LOINC does not address the requirements for the PHMR record. So we need to substantiate the argument for use of SNOMED and MDC. The source of the clinical data should </w:t>
      </w:r>
      <w:r w:rsidR="00847316">
        <w:rPr>
          <w:rFonts w:ascii="Verdana" w:hAnsi="Verdana"/>
          <w:bCs/>
          <w:sz w:val="20"/>
          <w:szCs w:val="20"/>
        </w:rPr>
        <w:t>be tracked</w:t>
      </w:r>
      <w:r w:rsidR="005D27A1">
        <w:rPr>
          <w:rFonts w:ascii="Verdana" w:hAnsi="Verdana"/>
          <w:bCs/>
          <w:sz w:val="20"/>
          <w:szCs w:val="20"/>
        </w:rPr>
        <w:t xml:space="preserve"> and if you are actually taking a measurement from a device it will be coded either in SNOMED or MDC</w:t>
      </w:r>
      <w:r w:rsidR="00847316">
        <w:rPr>
          <w:rFonts w:ascii="Verdana" w:hAnsi="Verdana"/>
          <w:bCs/>
          <w:sz w:val="20"/>
          <w:szCs w:val="20"/>
        </w:rPr>
        <w:t>.</w:t>
      </w:r>
      <w:r w:rsidR="005D27A1">
        <w:rPr>
          <w:rFonts w:ascii="Verdana" w:hAnsi="Verdana"/>
          <w:bCs/>
          <w:sz w:val="20"/>
          <w:szCs w:val="20"/>
        </w:rPr>
        <w:t xml:space="preserve"> Thus our requirement for observation from medical devices will require either SNOMED or MDC with a recommendation to provide translation elements from one to the other and an optional translation element to LOINC.</w:t>
      </w:r>
      <w:r w:rsidR="002B1296">
        <w:rPr>
          <w:rFonts w:ascii="Verdana" w:hAnsi="Verdana"/>
          <w:bCs/>
          <w:sz w:val="20"/>
          <w:szCs w:val="20"/>
        </w:rPr>
        <w:t xml:space="preserve"> We discussed the following objects:</w:t>
      </w:r>
    </w:p>
    <w:p w:rsidR="005D27A1" w:rsidRDefault="005D27A1" w:rsidP="002B1296">
      <w:pPr>
        <w:pStyle w:val="NormalWeb"/>
        <w:spacing w:before="0" w:beforeAutospacing="0" w:after="200" w:afterAutospacing="0" w:line="276" w:lineRule="auto"/>
        <w:ind w:left="720" w:firstLine="720"/>
        <w:contextualSpacing/>
        <w:jc w:val="both"/>
        <w:outlineLvl w:val="0"/>
        <w:rPr>
          <w:rFonts w:ascii="Verdana" w:hAnsi="Verdana"/>
          <w:bCs/>
          <w:sz w:val="20"/>
          <w:szCs w:val="20"/>
        </w:rPr>
      </w:pPr>
      <w:r>
        <w:rPr>
          <w:rFonts w:ascii="Verdana" w:hAnsi="Verdana"/>
          <w:bCs/>
          <w:sz w:val="20"/>
          <w:szCs w:val="20"/>
        </w:rPr>
        <w:t>Waveform Observation</w:t>
      </w:r>
      <w:r w:rsidR="00A266FC">
        <w:rPr>
          <w:rFonts w:ascii="Verdana" w:hAnsi="Verdana"/>
          <w:bCs/>
          <w:sz w:val="20"/>
          <w:szCs w:val="20"/>
        </w:rPr>
        <w:t xml:space="preserve"> (vital signs)</w:t>
      </w:r>
    </w:p>
    <w:p w:rsidR="00A266FC" w:rsidRDefault="00A266FC" w:rsidP="002B1296">
      <w:pPr>
        <w:pStyle w:val="NormalWeb"/>
        <w:spacing w:before="0" w:beforeAutospacing="0" w:after="200" w:afterAutospacing="0" w:line="276" w:lineRule="auto"/>
        <w:ind w:left="720" w:firstLine="720"/>
        <w:contextualSpacing/>
        <w:jc w:val="both"/>
        <w:outlineLvl w:val="0"/>
        <w:rPr>
          <w:rFonts w:ascii="Verdana" w:hAnsi="Verdana"/>
          <w:bCs/>
          <w:sz w:val="20"/>
          <w:szCs w:val="20"/>
        </w:rPr>
      </w:pPr>
      <w:r>
        <w:rPr>
          <w:rFonts w:ascii="Verdana" w:hAnsi="Verdana"/>
          <w:bCs/>
          <w:sz w:val="20"/>
          <w:szCs w:val="20"/>
        </w:rPr>
        <w:t>Event types</w:t>
      </w:r>
    </w:p>
    <w:p w:rsidR="005D27A1" w:rsidRDefault="005D27A1" w:rsidP="002B1296">
      <w:pPr>
        <w:pStyle w:val="NormalWeb"/>
        <w:spacing w:before="0" w:beforeAutospacing="0" w:after="200" w:afterAutospacing="0" w:line="276" w:lineRule="auto"/>
        <w:ind w:left="720" w:firstLine="720"/>
        <w:contextualSpacing/>
        <w:jc w:val="both"/>
        <w:outlineLvl w:val="0"/>
        <w:rPr>
          <w:rFonts w:ascii="Verdana" w:hAnsi="Verdana"/>
          <w:bCs/>
          <w:sz w:val="20"/>
          <w:szCs w:val="20"/>
        </w:rPr>
      </w:pPr>
      <w:r>
        <w:rPr>
          <w:rFonts w:ascii="Verdana" w:hAnsi="Verdana"/>
          <w:bCs/>
          <w:sz w:val="20"/>
          <w:szCs w:val="20"/>
        </w:rPr>
        <w:t>PHMR Device Instance</w:t>
      </w:r>
      <w:r w:rsidR="00A266FC">
        <w:rPr>
          <w:rFonts w:ascii="Verdana" w:hAnsi="Verdana"/>
          <w:bCs/>
          <w:sz w:val="20"/>
          <w:szCs w:val="20"/>
        </w:rPr>
        <w:t xml:space="preserve"> – medical device system</w:t>
      </w:r>
    </w:p>
    <w:p w:rsidR="005D27A1" w:rsidRDefault="009A3AB4" w:rsidP="002B1296">
      <w:pPr>
        <w:pStyle w:val="NormalWeb"/>
        <w:spacing w:before="0" w:beforeAutospacing="0" w:after="200" w:afterAutospacing="0" w:line="276" w:lineRule="auto"/>
        <w:ind w:left="720" w:firstLine="720"/>
        <w:contextualSpacing/>
        <w:jc w:val="both"/>
        <w:outlineLvl w:val="0"/>
        <w:rPr>
          <w:rFonts w:ascii="Verdana" w:hAnsi="Verdana"/>
          <w:bCs/>
          <w:sz w:val="20"/>
          <w:szCs w:val="20"/>
        </w:rPr>
      </w:pPr>
      <w:r>
        <w:rPr>
          <w:rFonts w:ascii="Verdana" w:hAnsi="Verdana"/>
          <w:bCs/>
          <w:sz w:val="20"/>
          <w:szCs w:val="20"/>
        </w:rPr>
        <w:t>3 sections</w:t>
      </w:r>
    </w:p>
    <w:p w:rsidR="009A3AB4" w:rsidRDefault="009A3AB4" w:rsidP="002B1296">
      <w:pPr>
        <w:pStyle w:val="NormalWeb"/>
        <w:numPr>
          <w:ilvl w:val="2"/>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Medical device description</w:t>
      </w:r>
    </w:p>
    <w:p w:rsidR="00CA7503" w:rsidRPr="00613FE8" w:rsidRDefault="009A3AB4" w:rsidP="00613FE8">
      <w:pPr>
        <w:pStyle w:val="NormalWeb"/>
        <w:numPr>
          <w:ilvl w:val="2"/>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Vital signs (one of eight types</w:t>
      </w:r>
      <w:r w:rsidR="00A266FC">
        <w:rPr>
          <w:rFonts w:ascii="Verdana" w:hAnsi="Verdana"/>
          <w:bCs/>
          <w:sz w:val="20"/>
          <w:szCs w:val="20"/>
        </w:rPr>
        <w:t xml:space="preserve"> – entries optional</w:t>
      </w:r>
      <w:r>
        <w:rPr>
          <w:rFonts w:ascii="Verdana" w:hAnsi="Verdana"/>
          <w:bCs/>
          <w:sz w:val="20"/>
          <w:szCs w:val="20"/>
        </w:rPr>
        <w:t>) and/or results sections (optional results template)</w:t>
      </w:r>
    </w:p>
    <w:p w:rsidR="00F81BB5" w:rsidRDefault="00F81BB5"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613FE8"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November 19</w:t>
      </w:r>
      <w:r w:rsidR="00803248">
        <w:rPr>
          <w:rFonts w:ascii="Arial" w:hAnsi="Arial"/>
          <w:sz w:val="20"/>
          <w:szCs w:val="20"/>
        </w:rPr>
        <w:t>, 2014</w:t>
      </w:r>
      <w:r w:rsidR="009D6F79">
        <w:rPr>
          <w:rFonts w:ascii="Arial" w:hAnsi="Arial"/>
          <w:sz w:val="20"/>
          <w:szCs w:val="20"/>
        </w:rPr>
        <w:t xml:space="preserve"> </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image008" style="width:13.5pt;height:13.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5">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19"/>
  </w:num>
  <w:num w:numId="8">
    <w:abstractNumId w:val="25"/>
  </w:num>
  <w:num w:numId="9">
    <w:abstractNumId w:val="28"/>
  </w:num>
  <w:num w:numId="10">
    <w:abstractNumId w:val="14"/>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31"/>
  </w:num>
  <w:num w:numId="16">
    <w:abstractNumId w:val="30"/>
  </w:num>
  <w:num w:numId="17">
    <w:abstractNumId w:val="2"/>
  </w:num>
  <w:num w:numId="18">
    <w:abstractNumId w:val="5"/>
  </w:num>
  <w:num w:numId="19">
    <w:abstractNumId w:val="4"/>
  </w:num>
  <w:num w:numId="20">
    <w:abstractNumId w:val="24"/>
  </w:num>
  <w:num w:numId="21">
    <w:abstractNumId w:val="3"/>
  </w:num>
  <w:num w:numId="22">
    <w:abstractNumId w:val="16"/>
  </w:num>
  <w:num w:numId="23">
    <w:abstractNumId w:val="27"/>
  </w:num>
  <w:num w:numId="24">
    <w:abstractNumId w:val="7"/>
  </w:num>
  <w:num w:numId="25">
    <w:abstractNumId w:val="17"/>
  </w:num>
  <w:num w:numId="26">
    <w:abstractNumId w:val="13"/>
  </w:num>
  <w:num w:numId="27">
    <w:abstractNumId w:val="29"/>
  </w:num>
  <w:num w:numId="28">
    <w:abstractNumId w:val="15"/>
  </w:num>
  <w:num w:numId="29">
    <w:abstractNumId w:val="33"/>
  </w:num>
  <w:num w:numId="30">
    <w:abstractNumId w:val="21"/>
  </w:num>
  <w:num w:numId="31">
    <w:abstractNumId w:val="20"/>
  </w:num>
  <w:num w:numId="32">
    <w:abstractNumId w:val="11"/>
  </w:num>
  <w:num w:numId="33">
    <w:abstractNumId w:val="34"/>
  </w:num>
  <w:num w:numId="34">
    <w:abstractNumId w:val="6"/>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60E4"/>
    <w:rsid w:val="000C7093"/>
    <w:rsid w:val="000C7ED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3545"/>
    <w:rsid w:val="00103BEC"/>
    <w:rsid w:val="001047C9"/>
    <w:rsid w:val="00105FAF"/>
    <w:rsid w:val="001070BA"/>
    <w:rsid w:val="001071E2"/>
    <w:rsid w:val="00114BA2"/>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4750"/>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7C9"/>
    <w:rsid w:val="00264CF2"/>
    <w:rsid w:val="00265E2A"/>
    <w:rsid w:val="002705FF"/>
    <w:rsid w:val="00272B81"/>
    <w:rsid w:val="0027334F"/>
    <w:rsid w:val="002742BC"/>
    <w:rsid w:val="00274B68"/>
    <w:rsid w:val="00274C6D"/>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2241"/>
    <w:rsid w:val="002A2741"/>
    <w:rsid w:val="002A3639"/>
    <w:rsid w:val="002A4372"/>
    <w:rsid w:val="002A5B87"/>
    <w:rsid w:val="002A5E12"/>
    <w:rsid w:val="002A72AA"/>
    <w:rsid w:val="002A7446"/>
    <w:rsid w:val="002B1296"/>
    <w:rsid w:val="002B3A6E"/>
    <w:rsid w:val="002B3AA9"/>
    <w:rsid w:val="002B44E4"/>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10B9"/>
    <w:rsid w:val="004C2643"/>
    <w:rsid w:val="004C53D4"/>
    <w:rsid w:val="004C6ED2"/>
    <w:rsid w:val="004C742F"/>
    <w:rsid w:val="004C76C7"/>
    <w:rsid w:val="004D0BDE"/>
    <w:rsid w:val="004D1744"/>
    <w:rsid w:val="004D1F57"/>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EC7"/>
    <w:rsid w:val="00555B25"/>
    <w:rsid w:val="00555E2E"/>
    <w:rsid w:val="00560051"/>
    <w:rsid w:val="00570343"/>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3FE8"/>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87E85"/>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3248"/>
    <w:rsid w:val="008042DD"/>
    <w:rsid w:val="008055D1"/>
    <w:rsid w:val="00807208"/>
    <w:rsid w:val="00826D68"/>
    <w:rsid w:val="00834B87"/>
    <w:rsid w:val="00835ECF"/>
    <w:rsid w:val="00836E7A"/>
    <w:rsid w:val="00836FA3"/>
    <w:rsid w:val="00840327"/>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57F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221"/>
    <w:rsid w:val="00A05F09"/>
    <w:rsid w:val="00A06629"/>
    <w:rsid w:val="00A07154"/>
    <w:rsid w:val="00A114F3"/>
    <w:rsid w:val="00A12874"/>
    <w:rsid w:val="00A1461B"/>
    <w:rsid w:val="00A16EE8"/>
    <w:rsid w:val="00A17D4F"/>
    <w:rsid w:val="00A25141"/>
    <w:rsid w:val="00A261CF"/>
    <w:rsid w:val="00A266FC"/>
    <w:rsid w:val="00A26717"/>
    <w:rsid w:val="00A26D2D"/>
    <w:rsid w:val="00A27490"/>
    <w:rsid w:val="00A27C31"/>
    <w:rsid w:val="00A307D7"/>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5AB"/>
    <w:rsid w:val="00C42A3B"/>
    <w:rsid w:val="00C43CDB"/>
    <w:rsid w:val="00C43DF6"/>
    <w:rsid w:val="00C522EF"/>
    <w:rsid w:val="00C531AA"/>
    <w:rsid w:val="00C53691"/>
    <w:rsid w:val="00C53E82"/>
    <w:rsid w:val="00C53FAB"/>
    <w:rsid w:val="00C55F55"/>
    <w:rsid w:val="00C56E8E"/>
    <w:rsid w:val="00C62BFD"/>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649F"/>
    <w:rsid w:val="00DB7353"/>
    <w:rsid w:val="00DC015A"/>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mc" TargetMode="External"/><Relationship Id="rId3" Type="http://schemas.openxmlformats.org/officeDocument/2006/relationships/styles" Target="styles.xml"/><Relationship Id="rId7" Type="http://schemas.openxmlformats.org/officeDocument/2006/relationships/hyperlink" Target="https://continuaalliance.webex.com/continuaalliance/globalcallin.php?serviceType=MC&amp;ED=301222953&amp;tollFre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inuaalliance.webex.com/continuaalliance/j.php?ED=301222953&amp;UID=0&amp;RT=MiMxMQ%3D%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2E0C-B5BA-4BE8-9B9B-1BBA949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2422</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Rosner, Martin</cp:lastModifiedBy>
  <cp:revision>157</cp:revision>
  <dcterms:created xsi:type="dcterms:W3CDTF">2012-11-14T15:07:00Z</dcterms:created>
  <dcterms:modified xsi:type="dcterms:W3CDTF">2014-11-12T16:19:00Z</dcterms:modified>
</cp:coreProperties>
</file>