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99" w:rsidRPr="00823799" w:rsidRDefault="00823799" w:rsidP="00823799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Toc379372853"/>
      <w:bookmarkStart w:id="1" w:name="_Toc379372976"/>
      <w:r w:rsidRPr="0082379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Implementation Guide</w:t>
      </w:r>
      <w:bookmarkEnd w:id="0"/>
      <w:bookmarkEnd w:id="1"/>
    </w:p>
    <w:p w:rsidR="00823799" w:rsidRPr="00823799" w:rsidRDefault="00823799" w:rsidP="00823799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</w:rPr>
      </w:pPr>
      <w:r w:rsidRPr="00823799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</w:rPr>
        <w:t>From Rob Snelick 02/12/2014 -</w:t>
      </w:r>
      <w:r w:rsidRPr="0082379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This is my viewpoint from the world of V2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8"/>
        <w:gridCol w:w="7478"/>
      </w:tblGrid>
      <w:tr w:rsidR="00823799" w:rsidRPr="00823799" w:rsidTr="00EE0731">
        <w:tc>
          <w:tcPr>
            <w:tcW w:w="1988" w:type="dxa"/>
          </w:tcPr>
          <w:p w:rsidR="00823799" w:rsidRPr="00823799" w:rsidRDefault="00823799" w:rsidP="00823799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</w:pP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t>Conformance Profile:</w:t>
            </w:r>
          </w:p>
        </w:tc>
        <w:tc>
          <w:tcPr>
            <w:tcW w:w="7478" w:type="dxa"/>
          </w:tcPr>
          <w:p w:rsidR="00823799" w:rsidRPr="00823799" w:rsidRDefault="00823799" w:rsidP="00823799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</w:pP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t>A conformance profile is a constraint to either the underlying standard or another conformance profile normally specifying constraints on messages or documents</w:t>
            </w:r>
            <w:r w:rsidRPr="00823799">
              <w:rPr>
                <w:rFonts w:ascii="Bookman Old Style" w:eastAsia="Times New Roman" w:hAnsi="Bookman Old Style" w:cs="Times New Roman"/>
                <w:szCs w:val="24"/>
                <w:vertAlign w:val="superscript"/>
                <w:lang w:val="en-GB" w:eastAsia="de-DE"/>
              </w:rPr>
              <w:footnoteReference w:id="1"/>
            </w: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t>.</w:t>
            </w:r>
          </w:p>
          <w:p w:rsidR="00823799" w:rsidRPr="00823799" w:rsidRDefault="00823799" w:rsidP="00823799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</w:pP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t>Unfortunately, this kind of profile is not always declared explicitly (HL7), but implicitly (DICOM).</w:t>
            </w:r>
          </w:p>
        </w:tc>
      </w:tr>
      <w:tr w:rsidR="00823799" w:rsidRPr="00823799" w:rsidTr="00EE0731">
        <w:tc>
          <w:tcPr>
            <w:tcW w:w="1988" w:type="dxa"/>
          </w:tcPr>
          <w:p w:rsidR="00823799" w:rsidRPr="00823799" w:rsidRDefault="00823799" w:rsidP="00823799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</w:pP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t>Message Profile:</w:t>
            </w:r>
          </w:p>
        </w:tc>
        <w:tc>
          <w:tcPr>
            <w:tcW w:w="7478" w:type="dxa"/>
          </w:tcPr>
          <w:p w:rsidR="00823799" w:rsidRPr="00823799" w:rsidRDefault="00823799" w:rsidP="00823799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</w:pP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t>A synonym for conformance profile however explicitly referring to a messaging standard such as HL7 V2.x.</w:t>
            </w:r>
          </w:p>
        </w:tc>
      </w:tr>
      <w:tr w:rsidR="00823799" w:rsidRPr="00823799" w:rsidTr="00EE0731">
        <w:tc>
          <w:tcPr>
            <w:tcW w:w="1988" w:type="dxa"/>
          </w:tcPr>
          <w:p w:rsidR="00823799" w:rsidRPr="00823799" w:rsidRDefault="00823799" w:rsidP="00823799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</w:pP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t>Conformance Message Profile</w:t>
            </w:r>
          </w:p>
        </w:tc>
        <w:tc>
          <w:tcPr>
            <w:tcW w:w="7478" w:type="dxa"/>
          </w:tcPr>
          <w:p w:rsidR="00823799" w:rsidRPr="00823799" w:rsidRDefault="00823799" w:rsidP="00823799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</w:pP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t>Another synonym for conformance profile however explicitly referring to a messaging standard such as HL7 V2.x.</w:t>
            </w:r>
          </w:p>
        </w:tc>
      </w:tr>
      <w:tr w:rsidR="00823799" w:rsidRPr="00823799" w:rsidTr="00EE0731">
        <w:tc>
          <w:tcPr>
            <w:tcW w:w="1988" w:type="dxa"/>
          </w:tcPr>
          <w:p w:rsidR="00823799" w:rsidRPr="00823799" w:rsidRDefault="00823799" w:rsidP="00823799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</w:pP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t xml:space="preserve">Implementation Guide: </w:t>
            </w: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fldChar w:fldCharType="begin"/>
            </w: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instrText xml:space="preserve"> XE "profile:integration" </w:instrText>
            </w: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fldChar w:fldCharType="end"/>
            </w: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fldChar w:fldCharType="begin"/>
            </w: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instrText xml:space="preserve"> XE "integration profile" </w:instrText>
            </w: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fldChar w:fldCharType="end"/>
            </w:r>
          </w:p>
        </w:tc>
        <w:tc>
          <w:tcPr>
            <w:tcW w:w="7478" w:type="dxa"/>
          </w:tcPr>
          <w:p w:rsidR="00823799" w:rsidRPr="00823799" w:rsidRDefault="00823799" w:rsidP="00823799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</w:pP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t xml:space="preserve">An implementation guide is often created to organize a collection of conformance profiles for specifying a set of related interactions described in a use case or use cases. Implementation guides typically describe broader conformance requirements such as application </w:t>
            </w:r>
            <w:proofErr w:type="spellStart"/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t>behavior</w:t>
            </w:r>
            <w:proofErr w:type="spellEnd"/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t>. Such requirements may include how a set of messages are to be used to enact certain application functionality among applications (actors).</w:t>
            </w:r>
          </w:p>
        </w:tc>
      </w:tr>
      <w:tr w:rsidR="00823799" w:rsidRPr="00823799" w:rsidTr="00EE0731">
        <w:tc>
          <w:tcPr>
            <w:tcW w:w="1988" w:type="dxa"/>
          </w:tcPr>
          <w:p w:rsidR="00823799" w:rsidRPr="00823799" w:rsidRDefault="00823799" w:rsidP="00823799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</w:pP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t xml:space="preserve">Integration Profile: </w:t>
            </w: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fldChar w:fldCharType="begin"/>
            </w: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instrText xml:space="preserve"> XE "profile:integration" </w:instrText>
            </w: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fldChar w:fldCharType="end"/>
            </w: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fldChar w:fldCharType="begin"/>
            </w: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instrText xml:space="preserve"> XE "integration profile" </w:instrText>
            </w: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fldChar w:fldCharType="end"/>
            </w:r>
          </w:p>
        </w:tc>
        <w:tc>
          <w:tcPr>
            <w:tcW w:w="7478" w:type="dxa"/>
          </w:tcPr>
          <w:p w:rsidR="00823799" w:rsidRPr="00823799" w:rsidRDefault="00823799" w:rsidP="00823799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</w:pP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t>An integration profile is an implementation guide and is the term used in the IHE Technical Frameworks. It describes the workflow for a specific use case. It combines actors and interactions facilitating base standards.</w:t>
            </w:r>
          </w:p>
        </w:tc>
      </w:tr>
      <w:tr w:rsidR="00823799" w:rsidRPr="00823799" w:rsidTr="00EE0731">
        <w:tc>
          <w:tcPr>
            <w:tcW w:w="1988" w:type="dxa"/>
          </w:tcPr>
          <w:p w:rsidR="00823799" w:rsidRPr="00823799" w:rsidRDefault="00823799" w:rsidP="00823799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</w:pP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t>Profile</w:t>
            </w:r>
          </w:p>
        </w:tc>
        <w:tc>
          <w:tcPr>
            <w:tcW w:w="7478" w:type="dxa"/>
          </w:tcPr>
          <w:p w:rsidR="00823799" w:rsidRPr="00823799" w:rsidRDefault="00823799" w:rsidP="00823799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</w:pPr>
            <w:r w:rsidRPr="00823799">
              <w:rPr>
                <w:rFonts w:ascii="Bookman Old Style" w:eastAsia="Times New Roman" w:hAnsi="Bookman Old Style" w:cs="Times New Roman"/>
                <w:szCs w:val="24"/>
                <w:lang w:val="en-GB" w:eastAsia="de-DE"/>
              </w:rPr>
              <w:t>Generic term often used to refer to a conformance profile or integration profile. The context in which it is used is important to determine what is meant.</w:t>
            </w:r>
          </w:p>
        </w:tc>
      </w:tr>
    </w:tbl>
    <w:p w:rsidR="00823799" w:rsidRPr="00823799" w:rsidRDefault="00823799" w:rsidP="00823799">
      <w:pPr>
        <w:spacing w:after="120" w:line="240" w:lineRule="auto"/>
        <w:jc w:val="both"/>
        <w:rPr>
          <w:rFonts w:ascii="Bookman Old Style" w:eastAsia="Times New Roman" w:hAnsi="Bookman Old Style" w:cs="Times New Roman"/>
          <w:szCs w:val="24"/>
          <w:lang w:val="en-GB" w:eastAsia="de-DE"/>
        </w:rPr>
      </w:pPr>
      <w:r w:rsidRPr="00823799">
        <w:rPr>
          <w:rFonts w:ascii="Bookman Old Style" w:eastAsia="Times New Roman" w:hAnsi="Bookman Old Style" w:cs="Times New Roman"/>
          <w:szCs w:val="24"/>
          <w:lang w:val="en-GB" w:eastAsia="de-DE"/>
        </w:rPr>
        <w:t xml:space="preserve">Broadly speaking implementation guides and integration profiles are </w:t>
      </w:r>
      <w:r w:rsidRPr="00823799">
        <w:rPr>
          <w:rFonts w:ascii="Bookman Old Style" w:eastAsia="Times New Roman" w:hAnsi="Bookman Old Style" w:cs="Times New Roman"/>
          <w:i/>
          <w:szCs w:val="24"/>
          <w:lang w:val="en-GB" w:eastAsia="de-DE"/>
        </w:rPr>
        <w:t>containers</w:t>
      </w:r>
      <w:r w:rsidRPr="00823799">
        <w:rPr>
          <w:rFonts w:ascii="Bookman Old Style" w:eastAsia="Times New Roman" w:hAnsi="Bookman Old Style" w:cs="Times New Roman"/>
          <w:szCs w:val="24"/>
          <w:lang w:val="en-GB" w:eastAsia="de-DE"/>
        </w:rPr>
        <w:t xml:space="preserve"> for conformance profiles. In short, implementation guides and integration profiles describe the use case(s), the applications (actors) involved, and the workflow (including the transactions and interactions). Functional </w:t>
      </w:r>
      <w:proofErr w:type="spellStart"/>
      <w:r w:rsidRPr="00823799">
        <w:rPr>
          <w:rFonts w:ascii="Bookman Old Style" w:eastAsia="Times New Roman" w:hAnsi="Bookman Old Style" w:cs="Times New Roman"/>
          <w:szCs w:val="24"/>
          <w:lang w:val="en-GB" w:eastAsia="de-DE"/>
        </w:rPr>
        <w:t>behavior</w:t>
      </w:r>
      <w:proofErr w:type="spellEnd"/>
      <w:r w:rsidRPr="00823799">
        <w:rPr>
          <w:rFonts w:ascii="Bookman Old Style" w:eastAsia="Times New Roman" w:hAnsi="Bookman Old Style" w:cs="Times New Roman"/>
          <w:szCs w:val="24"/>
          <w:lang w:val="en-GB" w:eastAsia="de-DE"/>
        </w:rPr>
        <w:t xml:space="preserve"> can also be specified. Conformance profiles in the context of a messaging standard describe the requirements for a single interaction. An implementation guide or integration profile often describes numerous conformance profile definitions. For example, the IHE Patient Identification (PIX) integration profile defines a conformance profile for each of the HL7 V2 administration interactions (A01 – In-patient Admission, A04 – Outpatient Registration, A05 – In-patient Pre-admission, A08 – Patient Update, A40 – Merge Patient), the acknowledgement interaction (ACK – Acknowledgement), and the query/response interactions (Q23</w:t>
      </w:r>
      <w:r w:rsidR="00803C46">
        <w:rPr>
          <w:rFonts w:ascii="Bookman Old Style" w:eastAsia="Times New Roman" w:hAnsi="Bookman Old Style" w:cs="Times New Roman"/>
          <w:szCs w:val="24"/>
          <w:lang w:val="en-GB" w:eastAsia="de-DE"/>
        </w:rPr>
        <w:t xml:space="preserve"> – Query, and K23 – Response).</w:t>
      </w:r>
    </w:p>
    <w:p w:rsidR="00803C46" w:rsidRPr="00803C46" w:rsidRDefault="00803C46" w:rsidP="00803C46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</w:rPr>
      </w:pPr>
      <w:r w:rsidRPr="00803C46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</w:rPr>
        <w:t>Conformance</w:t>
      </w:r>
    </w:p>
    <w:p w:rsidR="00803C46" w:rsidRPr="00803C46" w:rsidRDefault="00803C46" w:rsidP="00803C46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Bookman Old Style" w:eastAsia="Times New Roman" w:hAnsi="Bookman Old Style" w:cs="Times New Roman"/>
          <w:szCs w:val="24"/>
          <w:lang w:val="en-GB" w:eastAsia="ar-SA"/>
        </w:rPr>
      </w:pPr>
      <w:r w:rsidRPr="00803C46">
        <w:rPr>
          <w:rFonts w:ascii="Bookman Old Style" w:eastAsia="Times New Roman" w:hAnsi="Bookman Old Style" w:cs="Times New Roman"/>
          <w:b/>
          <w:szCs w:val="24"/>
          <w:lang w:val="en-GB" w:eastAsia="ar-SA"/>
        </w:rPr>
        <w:t>Conformance:</w:t>
      </w:r>
      <w:r w:rsidRPr="00803C46">
        <w:rPr>
          <w:rFonts w:ascii="Bookman Old Style" w:eastAsia="Times New Roman" w:hAnsi="Bookman Old Style" w:cs="Times New Roman"/>
          <w:szCs w:val="24"/>
          <w:lang w:val="en-GB" w:eastAsia="ar-SA"/>
        </w:rPr>
        <w:t xml:space="preserve"> Conformance is defined as the </w:t>
      </w:r>
      <w:proofErr w:type="spellStart"/>
      <w:r w:rsidRPr="00803C46">
        <w:rPr>
          <w:rFonts w:ascii="Bookman Old Style" w:eastAsia="Times New Roman" w:hAnsi="Bookman Old Style" w:cs="Times New Roman"/>
          <w:szCs w:val="24"/>
          <w:lang w:val="en-GB" w:eastAsia="ar-SA"/>
        </w:rPr>
        <w:t>fulfillment</w:t>
      </w:r>
      <w:proofErr w:type="spellEnd"/>
      <w:r w:rsidRPr="00803C46">
        <w:rPr>
          <w:rFonts w:ascii="Bookman Old Style" w:eastAsia="Times New Roman" w:hAnsi="Bookman Old Style" w:cs="Times New Roman"/>
          <w:szCs w:val="24"/>
          <w:lang w:val="en-GB" w:eastAsia="ar-SA"/>
        </w:rPr>
        <w:t xml:space="preserve"> of a product, process, or service of specified requirements [ISO-17000, OASIS]. The concept of conformance </w:t>
      </w:r>
      <w:r w:rsidRPr="00803C46">
        <w:rPr>
          <w:rFonts w:ascii="Bookman Old Style" w:eastAsia="Times New Roman" w:hAnsi="Bookman Old Style" w:cs="Times New Roman"/>
          <w:szCs w:val="24"/>
          <w:lang w:val="en-GB" w:eastAsia="ar-SA"/>
        </w:rPr>
        <w:lastRenderedPageBreak/>
        <w:t>is essential to any standard for providing an objective measure of how closely implementations satisfy the requirements defined in the standard.</w:t>
      </w:r>
    </w:p>
    <w:p w:rsidR="00DC6AB1" w:rsidRDefault="002F7135"/>
    <w:p w:rsidR="00803C46" w:rsidRDefault="00803C46" w:rsidP="00803C46">
      <w:pPr>
        <w:pStyle w:val="Heading2"/>
      </w:pPr>
      <w:r>
        <w:t>Conformance Profile Testing</w:t>
      </w:r>
    </w:p>
    <w:p w:rsidR="00803C46" w:rsidRDefault="00803C46" w:rsidP="00803C46">
      <w:r>
        <w:t>Don’t see how this is different than conformance testing. You’re testing a system with respect to a set of requirements articulated in a specification (in this case, the conformance profile is the specification).</w:t>
      </w:r>
    </w:p>
    <w:p w:rsidR="00803C46" w:rsidRDefault="00803C46" w:rsidP="00803C46">
      <w:pPr>
        <w:pStyle w:val="Heading2"/>
      </w:pPr>
      <w:r>
        <w:t>Compliance</w:t>
      </w:r>
    </w:p>
    <w:p w:rsidR="00803C46" w:rsidRDefault="00803C46" w:rsidP="00803C46">
      <w:r>
        <w:t>At least in the v2 profile world is a determination of whether one profile is compliance with another. For example, if you have a constrainable profile and you create an implementation profile, the implementation profile is said to be compliant with the constrainable profile if it is a proper constraint of the constrainable profile.</w:t>
      </w:r>
    </w:p>
    <w:p w:rsidR="00803C46" w:rsidRDefault="00803C46" w:rsidP="00803C46">
      <w:pPr>
        <w:pStyle w:val="Heading2"/>
      </w:pPr>
      <w:r>
        <w:t>Template</w:t>
      </w:r>
    </w:p>
    <w:p w:rsidR="00803C46" w:rsidRPr="00803C46" w:rsidRDefault="00803C46" w:rsidP="00803C46">
      <w:r>
        <w:t>This is a CDA thing which to me is analogous to a conformance profile in V2.</w:t>
      </w:r>
    </w:p>
    <w:p w:rsidR="00803C46" w:rsidRDefault="00E96478" w:rsidP="00E96478">
      <w:pPr>
        <w:pStyle w:val="Heading2"/>
      </w:pPr>
      <w:r>
        <w:t>Other thoughts</w:t>
      </w:r>
    </w:p>
    <w:p w:rsidR="00E96478" w:rsidRDefault="00E96478" w:rsidP="00E96478">
      <w:r>
        <w:t>--We should check the ECF as part of SAIF. I believe they have definitions of these terms (although if I recall I didn’t agree with them entirely).</w:t>
      </w:r>
    </w:p>
    <w:p w:rsidR="00E96478" w:rsidRPr="00E96478" w:rsidRDefault="00E96478" w:rsidP="00E96478">
      <w:r>
        <w:t>--We should also check other domains and see what their definitio</w:t>
      </w:r>
      <w:bookmarkStart w:id="2" w:name="_GoBack"/>
      <w:bookmarkEnd w:id="2"/>
      <w:r>
        <w:t>ns are. ISO and IEEE have definitions.</w:t>
      </w:r>
    </w:p>
    <w:sectPr w:rsidR="00E96478" w:rsidRPr="00E96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35" w:rsidRDefault="002F7135" w:rsidP="00823799">
      <w:pPr>
        <w:spacing w:after="0" w:line="240" w:lineRule="auto"/>
      </w:pPr>
      <w:r>
        <w:separator/>
      </w:r>
    </w:p>
  </w:endnote>
  <w:endnote w:type="continuationSeparator" w:id="0">
    <w:p w:rsidR="002F7135" w:rsidRDefault="002F7135" w:rsidP="0082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35" w:rsidRDefault="002F7135" w:rsidP="00823799">
      <w:pPr>
        <w:spacing w:after="0" w:line="240" w:lineRule="auto"/>
      </w:pPr>
      <w:r>
        <w:separator/>
      </w:r>
    </w:p>
  </w:footnote>
  <w:footnote w:type="continuationSeparator" w:id="0">
    <w:p w:rsidR="002F7135" w:rsidRDefault="002F7135" w:rsidP="00823799">
      <w:pPr>
        <w:spacing w:after="0" w:line="240" w:lineRule="auto"/>
      </w:pPr>
      <w:r>
        <w:continuationSeparator/>
      </w:r>
    </w:p>
  </w:footnote>
  <w:footnote w:id="1">
    <w:p w:rsidR="00823799" w:rsidRPr="00004FCA" w:rsidRDefault="00823799" w:rsidP="008237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4FCA">
        <w:t>It can be applied to (web)</w:t>
      </w:r>
      <w:r>
        <w:t xml:space="preserve"> </w:t>
      </w:r>
      <w:r w:rsidRPr="00004FCA">
        <w:t>services as well.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F4"/>
    <w:rsid w:val="00010074"/>
    <w:rsid w:val="0003350F"/>
    <w:rsid w:val="002F7135"/>
    <w:rsid w:val="00343D98"/>
    <w:rsid w:val="00803C46"/>
    <w:rsid w:val="00823799"/>
    <w:rsid w:val="008B0126"/>
    <w:rsid w:val="00BC0A9C"/>
    <w:rsid w:val="00BE1963"/>
    <w:rsid w:val="00BE716F"/>
    <w:rsid w:val="00E96478"/>
    <w:rsid w:val="00FA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C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237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799"/>
    <w:rPr>
      <w:sz w:val="20"/>
      <w:szCs w:val="20"/>
    </w:rPr>
  </w:style>
  <w:style w:type="character" w:styleId="FootnoteReference">
    <w:name w:val="footnote reference"/>
    <w:uiPriority w:val="99"/>
    <w:semiHidden/>
    <w:rsid w:val="0082379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03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C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237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3799"/>
    <w:rPr>
      <w:sz w:val="20"/>
      <w:szCs w:val="20"/>
    </w:rPr>
  </w:style>
  <w:style w:type="character" w:styleId="FootnoteReference">
    <w:name w:val="footnote reference"/>
    <w:uiPriority w:val="99"/>
    <w:semiHidden/>
    <w:rsid w:val="0082379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03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570</Words>
  <Characters>3252</Characters>
  <Application>Microsoft Office Word</Application>
  <DocSecurity>0</DocSecurity>
  <Lines>27</Lines>
  <Paragraphs>7</Paragraphs>
  <ScaleCrop>false</ScaleCrop>
  <Company>NIST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Snelick</dc:creator>
  <cp:keywords/>
  <dc:description/>
  <cp:lastModifiedBy>Robert Snelick</cp:lastModifiedBy>
  <cp:revision>4</cp:revision>
  <dcterms:created xsi:type="dcterms:W3CDTF">2014-02-12T20:20:00Z</dcterms:created>
  <dcterms:modified xsi:type="dcterms:W3CDTF">2014-02-12T20:37:00Z</dcterms:modified>
</cp:coreProperties>
</file>