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13" w:rsidRPr="00DD306B" w:rsidRDefault="00DD306B" w:rsidP="00CD5206">
      <w:pPr>
        <w:spacing w:after="120"/>
        <w:rPr>
          <w:b/>
          <w:sz w:val="26"/>
          <w:u w:val="single"/>
        </w:rPr>
      </w:pPr>
      <w:proofErr w:type="spellStart"/>
      <w:proofErr w:type="gramStart"/>
      <w:r w:rsidRPr="00DD306B">
        <w:rPr>
          <w:b/>
          <w:sz w:val="26"/>
          <w:u w:val="single"/>
        </w:rPr>
        <w:t>cMHAFF</w:t>
      </w:r>
      <w:proofErr w:type="spellEnd"/>
      <w:proofErr w:type="gramEnd"/>
      <w:r w:rsidRPr="00DD306B">
        <w:rPr>
          <w:b/>
          <w:sz w:val="26"/>
          <w:u w:val="single"/>
        </w:rPr>
        <w:t xml:space="preserve"> vs French </w:t>
      </w:r>
      <w:r w:rsidR="0038233C">
        <w:rPr>
          <w:b/>
          <w:sz w:val="26"/>
          <w:u w:val="single"/>
        </w:rPr>
        <w:t>HAS</w:t>
      </w:r>
      <w:r w:rsidR="00F06850">
        <w:rPr>
          <w:rStyle w:val="FootnoteReference"/>
          <w:b/>
          <w:sz w:val="26"/>
          <w:u w:val="single"/>
        </w:rPr>
        <w:footnoteReference w:id="1"/>
      </w:r>
      <w:r w:rsidRPr="00DD306B">
        <w:rPr>
          <w:b/>
          <w:sz w:val="26"/>
          <w:u w:val="single"/>
        </w:rPr>
        <w:t xml:space="preserve"> </w:t>
      </w:r>
      <w:r w:rsidR="0038233C">
        <w:rPr>
          <w:b/>
          <w:sz w:val="26"/>
          <w:u w:val="single"/>
        </w:rPr>
        <w:t xml:space="preserve">Good Practice </w:t>
      </w:r>
      <w:r w:rsidRPr="00DD306B">
        <w:rPr>
          <w:b/>
          <w:sz w:val="26"/>
          <w:u w:val="single"/>
        </w:rPr>
        <w:t xml:space="preserve">Guidelines </w:t>
      </w:r>
      <w:r w:rsidR="0038233C">
        <w:rPr>
          <w:b/>
          <w:sz w:val="26"/>
          <w:u w:val="single"/>
        </w:rPr>
        <w:t xml:space="preserve">(GPG) </w:t>
      </w:r>
      <w:r w:rsidRPr="00DD306B">
        <w:rPr>
          <w:b/>
          <w:sz w:val="26"/>
          <w:u w:val="single"/>
        </w:rPr>
        <w:t>Comparison (as of 2017-06-26)</w:t>
      </w:r>
    </w:p>
    <w:p w:rsidR="00566AF6" w:rsidRDefault="00566AF6" w:rsidP="00CD5206">
      <w:pPr>
        <w:spacing w:after="120"/>
      </w:pPr>
      <w:r>
        <w:t xml:space="preserve">Numbers in parentheses </w:t>
      </w:r>
      <w:r w:rsidR="005B610C">
        <w:t>(X</w:t>
      </w:r>
      <w:proofErr w:type="gramStart"/>
      <w:r w:rsidR="005B610C">
        <w:t>,Y</w:t>
      </w:r>
      <w:proofErr w:type="gramEnd"/>
      <w:r w:rsidR="005B610C">
        <w:t xml:space="preserve">) </w:t>
      </w:r>
      <w:r>
        <w:t xml:space="preserve">indicate the number of conformance </w:t>
      </w:r>
      <w:r w:rsidR="005B610C">
        <w:t xml:space="preserve">statements </w:t>
      </w:r>
      <w:r>
        <w:t>(</w:t>
      </w:r>
      <w:proofErr w:type="spellStart"/>
      <w:r>
        <w:t>cMHAFF</w:t>
      </w:r>
      <w:proofErr w:type="spellEnd"/>
      <w:r>
        <w:t>) or criteria (</w:t>
      </w:r>
      <w:r w:rsidR="0038233C">
        <w:t>GPG</w:t>
      </w:r>
      <w:r>
        <w:t>)</w:t>
      </w:r>
      <w:r w:rsidR="005B610C">
        <w:t xml:space="preserve">, where X=total criteria, Y=compulsory/SHALL criteria. For </w:t>
      </w:r>
      <w:proofErr w:type="spellStart"/>
      <w:r w:rsidR="005B610C">
        <w:t>cMHAFF</w:t>
      </w:r>
      <w:proofErr w:type="spellEnd"/>
      <w:r w:rsidR="005B610C">
        <w:t xml:space="preserve">, </w:t>
      </w:r>
      <w:proofErr w:type="gramStart"/>
      <w:r w:rsidR="005B610C">
        <w:t>SHALL[</w:t>
      </w:r>
      <w:proofErr w:type="gramEnd"/>
      <w:r w:rsidR="005B610C">
        <w:t xml:space="preserve">IF] are not included in 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4"/>
        <w:gridCol w:w="4416"/>
        <w:gridCol w:w="456"/>
        <w:gridCol w:w="4872"/>
      </w:tblGrid>
      <w:tr w:rsidR="003F18A4" w:rsidRPr="00A967E3" w:rsidTr="00CD5206">
        <w:tc>
          <w:tcPr>
            <w:tcW w:w="4428" w:type="dxa"/>
          </w:tcPr>
          <w:p w:rsidR="003F18A4" w:rsidRPr="00A967E3" w:rsidRDefault="003F18A4">
            <w:pPr>
              <w:rPr>
                <w:b/>
              </w:rPr>
            </w:pPr>
            <w:proofErr w:type="spellStart"/>
            <w:r w:rsidRPr="00A967E3">
              <w:rPr>
                <w:b/>
              </w:rPr>
              <w:t>cMHAFF</w:t>
            </w:r>
            <w:proofErr w:type="spellEnd"/>
            <w:r w:rsidRPr="00A967E3">
              <w:rPr>
                <w:b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3F18A4" w:rsidRPr="00A967E3" w:rsidRDefault="003F18A4" w:rsidP="0038233C">
            <w:pPr>
              <w:rPr>
                <w:b/>
              </w:rPr>
            </w:pPr>
            <w:r w:rsidRPr="00A967E3">
              <w:rPr>
                <w:b/>
              </w:rPr>
              <w:t xml:space="preserve">French </w:t>
            </w:r>
            <w:r w:rsidR="0038233C">
              <w:rPr>
                <w:b/>
              </w:rPr>
              <w:t xml:space="preserve">GPG </w:t>
            </w:r>
            <w:r w:rsidR="00E84661" w:rsidRPr="00A967E3">
              <w:rPr>
                <w:b/>
              </w:rPr>
              <w:t>Subcategories</w:t>
            </w:r>
          </w:p>
        </w:tc>
        <w:tc>
          <w:tcPr>
            <w:tcW w:w="5328" w:type="dxa"/>
            <w:gridSpan w:val="2"/>
          </w:tcPr>
          <w:p w:rsidR="003F18A4" w:rsidRPr="00A967E3" w:rsidRDefault="003F18A4">
            <w:pPr>
              <w:rPr>
                <w:b/>
              </w:rPr>
            </w:pPr>
            <w:r w:rsidRPr="00A967E3">
              <w:rPr>
                <w:b/>
              </w:rPr>
              <w:t>Comments</w:t>
            </w:r>
          </w:p>
        </w:tc>
      </w:tr>
      <w:tr w:rsidR="00BF45A6" w:rsidTr="00CD5206">
        <w:tc>
          <w:tcPr>
            <w:tcW w:w="4428" w:type="dxa"/>
            <w:tcBorders>
              <w:bottom w:val="single" w:sz="4" w:space="0" w:color="auto"/>
            </w:tcBorders>
          </w:tcPr>
          <w:p w:rsidR="00BF45A6" w:rsidRDefault="00BF45A6" w:rsidP="00445699"/>
        </w:tc>
        <w:tc>
          <w:tcPr>
            <w:tcW w:w="4860" w:type="dxa"/>
            <w:gridSpan w:val="2"/>
            <w:shd w:val="clear" w:color="auto" w:fill="C2D69B" w:themeFill="accent3" w:themeFillTint="99"/>
          </w:tcPr>
          <w:p w:rsidR="00BF45A6" w:rsidRDefault="00BF45A6"/>
        </w:tc>
        <w:tc>
          <w:tcPr>
            <w:tcW w:w="5328" w:type="dxa"/>
            <w:gridSpan w:val="2"/>
          </w:tcPr>
          <w:p w:rsidR="00BF45A6" w:rsidRPr="00A967E3" w:rsidRDefault="00BF45A6">
            <w:pPr>
              <w:rPr>
                <w:sz w:val="20"/>
                <w:szCs w:val="20"/>
              </w:rPr>
            </w:pPr>
          </w:p>
        </w:tc>
      </w:tr>
      <w:tr w:rsidR="003F18A4" w:rsidTr="0038233C">
        <w:tc>
          <w:tcPr>
            <w:tcW w:w="4428" w:type="dxa"/>
            <w:tcBorders>
              <w:bottom w:val="single" w:sz="4" w:space="0" w:color="auto"/>
            </w:tcBorders>
            <w:shd w:val="clear" w:color="auto" w:fill="FFFF00"/>
          </w:tcPr>
          <w:p w:rsidR="003F18A4" w:rsidRDefault="004D18D6" w:rsidP="00445699">
            <w:r>
              <w:t>R</w:t>
            </w:r>
            <w:r w:rsidR="00566AF6">
              <w:t>egula</w:t>
            </w:r>
            <w:r w:rsidR="00445699">
              <w:t>tory Considerations (2,1)</w:t>
            </w:r>
          </w:p>
        </w:tc>
        <w:tc>
          <w:tcPr>
            <w:tcW w:w="4860" w:type="dxa"/>
            <w:gridSpan w:val="2"/>
            <w:shd w:val="clear" w:color="auto" w:fill="FFFF00"/>
          </w:tcPr>
          <w:p w:rsidR="003F18A4" w:rsidRDefault="006C3798">
            <w:r>
              <w:t>(Multiple)</w:t>
            </w:r>
          </w:p>
        </w:tc>
        <w:tc>
          <w:tcPr>
            <w:tcW w:w="5328" w:type="dxa"/>
            <w:gridSpan w:val="2"/>
          </w:tcPr>
          <w:p w:rsidR="003F18A4" w:rsidRPr="00A967E3" w:rsidRDefault="00E84661" w:rsidP="00421B38">
            <w:pPr>
              <w:rPr>
                <w:sz w:val="20"/>
                <w:szCs w:val="20"/>
              </w:rPr>
            </w:pPr>
            <w:r w:rsidRPr="00A967E3">
              <w:rPr>
                <w:sz w:val="20"/>
                <w:szCs w:val="20"/>
              </w:rPr>
              <w:t xml:space="preserve">In </w:t>
            </w:r>
            <w:r w:rsidR="0038233C">
              <w:rPr>
                <w:sz w:val="20"/>
                <w:szCs w:val="20"/>
              </w:rPr>
              <w:t>GPG</w:t>
            </w:r>
            <w:r w:rsidRPr="00A967E3">
              <w:rPr>
                <w:sz w:val="20"/>
                <w:szCs w:val="20"/>
              </w:rPr>
              <w:t xml:space="preserve">, these are </w:t>
            </w:r>
            <w:r w:rsidR="00421B38">
              <w:rPr>
                <w:sz w:val="20"/>
                <w:szCs w:val="20"/>
              </w:rPr>
              <w:t xml:space="preserve">split, located specific to the criteria, e.g., Regulatory for Cybersecurity, Data Hosting, etc. </w:t>
            </w:r>
          </w:p>
        </w:tc>
      </w:tr>
      <w:tr w:rsidR="003F18A4" w:rsidTr="0038233C">
        <w:tc>
          <w:tcPr>
            <w:tcW w:w="4428" w:type="dxa"/>
            <w:tcBorders>
              <w:bottom w:val="nil"/>
            </w:tcBorders>
            <w:shd w:val="clear" w:color="auto" w:fill="FFFF00"/>
          </w:tcPr>
          <w:p w:rsidR="003F18A4" w:rsidRDefault="004D18D6" w:rsidP="00445699">
            <w:r>
              <w:t>Product Risk A</w:t>
            </w:r>
            <w:r w:rsidR="00566AF6">
              <w:t>ssessment and Mitigation (7</w:t>
            </w:r>
            <w:r w:rsidR="00445699">
              <w:t>,5</w:t>
            </w:r>
            <w:r w:rsidR="00566AF6">
              <w:t>)</w:t>
            </w:r>
          </w:p>
        </w:tc>
        <w:tc>
          <w:tcPr>
            <w:tcW w:w="4860" w:type="dxa"/>
            <w:gridSpan w:val="2"/>
            <w:shd w:val="clear" w:color="auto" w:fill="FFFF00"/>
          </w:tcPr>
          <w:p w:rsidR="003F18A4" w:rsidRDefault="006C3798">
            <w:r>
              <w:t>(Multiple)</w:t>
            </w:r>
          </w:p>
        </w:tc>
        <w:tc>
          <w:tcPr>
            <w:tcW w:w="5328" w:type="dxa"/>
            <w:gridSpan w:val="2"/>
          </w:tcPr>
          <w:p w:rsidR="003F18A4" w:rsidRPr="00A967E3" w:rsidRDefault="00527647">
            <w:pPr>
              <w:rPr>
                <w:sz w:val="20"/>
                <w:szCs w:val="20"/>
              </w:rPr>
            </w:pPr>
            <w:r w:rsidRPr="00A967E3">
              <w:rPr>
                <w:sz w:val="20"/>
                <w:szCs w:val="20"/>
              </w:rPr>
              <w:t xml:space="preserve">Several </w:t>
            </w:r>
            <w:proofErr w:type="spellStart"/>
            <w:r w:rsidRPr="00A967E3">
              <w:rPr>
                <w:sz w:val="20"/>
                <w:szCs w:val="20"/>
              </w:rPr>
              <w:t>cMHAFF</w:t>
            </w:r>
            <w:proofErr w:type="spellEnd"/>
            <w:r w:rsidRPr="00A967E3">
              <w:rPr>
                <w:sz w:val="20"/>
                <w:szCs w:val="20"/>
              </w:rPr>
              <w:t xml:space="preserve"> criteria are covered in </w:t>
            </w:r>
            <w:r w:rsidR="0038233C">
              <w:rPr>
                <w:sz w:val="20"/>
                <w:szCs w:val="20"/>
              </w:rPr>
              <w:t>GPG</w:t>
            </w:r>
            <w:r w:rsidRPr="00A967E3">
              <w:rPr>
                <w:sz w:val="20"/>
                <w:szCs w:val="20"/>
              </w:rPr>
              <w:t xml:space="preserve"> Cybersecurity</w:t>
            </w:r>
            <w:r w:rsidR="00E84661" w:rsidRPr="00A967E3">
              <w:rPr>
                <w:sz w:val="20"/>
                <w:szCs w:val="20"/>
              </w:rPr>
              <w:t>, Reliability, and Confidentiality subcategories</w:t>
            </w:r>
            <w:r w:rsidR="00BF45A6" w:rsidRPr="00A967E3">
              <w:rPr>
                <w:sz w:val="20"/>
                <w:szCs w:val="20"/>
              </w:rPr>
              <w:t xml:space="preserve">. Also </w:t>
            </w:r>
            <w:r w:rsidR="0038233C">
              <w:rPr>
                <w:sz w:val="20"/>
                <w:szCs w:val="20"/>
              </w:rPr>
              <w:t>GPG</w:t>
            </w:r>
            <w:r w:rsidR="00BF45A6" w:rsidRPr="00A967E3">
              <w:rPr>
                <w:sz w:val="20"/>
                <w:szCs w:val="20"/>
              </w:rPr>
              <w:t xml:space="preserve"> 2.2 Tailoring the Scope of Assessment is a helpful framework for categorizing apps into levels of criticality</w:t>
            </w:r>
          </w:p>
        </w:tc>
      </w:tr>
      <w:tr w:rsidR="005D6418" w:rsidTr="0038233C">
        <w:tc>
          <w:tcPr>
            <w:tcW w:w="442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5D6418" w:rsidRDefault="005D6418" w:rsidP="008046E8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D6418" w:rsidRDefault="005D6418" w:rsidP="008046E8">
            <w:r>
              <w:t>Technical Content: Technical Design (3,0)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5D6418" w:rsidRPr="00A967E3" w:rsidRDefault="005D6418" w:rsidP="008046E8">
            <w:pPr>
              <w:rPr>
                <w:sz w:val="20"/>
                <w:szCs w:val="20"/>
              </w:rPr>
            </w:pPr>
            <w:r w:rsidRPr="00A967E3">
              <w:rPr>
                <w:sz w:val="20"/>
                <w:szCs w:val="20"/>
              </w:rPr>
              <w:t xml:space="preserve">Development methodology, update tracking, </w:t>
            </w:r>
            <w:r w:rsidR="00A240B0" w:rsidRPr="00A967E3">
              <w:rPr>
                <w:sz w:val="20"/>
                <w:szCs w:val="20"/>
              </w:rPr>
              <w:t xml:space="preserve">(documentation of) </w:t>
            </w:r>
            <w:r w:rsidRPr="00A967E3">
              <w:rPr>
                <w:sz w:val="20"/>
                <w:szCs w:val="20"/>
              </w:rPr>
              <w:t xml:space="preserve">device configuration and performance. </w:t>
            </w:r>
          </w:p>
        </w:tc>
      </w:tr>
      <w:tr w:rsidR="00DD306B" w:rsidTr="00CD5206">
        <w:tc>
          <w:tcPr>
            <w:tcW w:w="4428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DD306B" w:rsidRDefault="00DD306B" w:rsidP="008046E8"/>
        </w:tc>
        <w:tc>
          <w:tcPr>
            <w:tcW w:w="4860" w:type="dxa"/>
            <w:gridSpan w:val="2"/>
            <w:tcBorders>
              <w:bottom w:val="single" w:sz="12" w:space="0" w:color="auto"/>
            </w:tcBorders>
          </w:tcPr>
          <w:p w:rsidR="00DD306B" w:rsidRDefault="00DD306B" w:rsidP="008046E8">
            <w:r>
              <w:t>Technical Content: Data Flow (6,3)</w:t>
            </w:r>
          </w:p>
        </w:tc>
        <w:tc>
          <w:tcPr>
            <w:tcW w:w="5328" w:type="dxa"/>
            <w:gridSpan w:val="2"/>
            <w:tcBorders>
              <w:bottom w:val="single" w:sz="12" w:space="0" w:color="auto"/>
            </w:tcBorders>
          </w:tcPr>
          <w:p w:rsidR="00DD306B" w:rsidRPr="00A967E3" w:rsidRDefault="00DD306B" w:rsidP="008046E8">
            <w:pPr>
              <w:rPr>
                <w:sz w:val="20"/>
                <w:szCs w:val="20"/>
              </w:rPr>
            </w:pPr>
            <w:r w:rsidRPr="00A967E3">
              <w:rPr>
                <w:sz w:val="20"/>
                <w:szCs w:val="20"/>
              </w:rPr>
              <w:t>Interface w EHR, Backward compatibility, Data import/export, Data model, Data hosting arrangements, Data backup. (Strange grouping: some are development, some are operational)</w:t>
            </w:r>
          </w:p>
        </w:tc>
      </w:tr>
      <w:tr w:rsidR="003F18A4" w:rsidTr="00CD5206">
        <w:tc>
          <w:tcPr>
            <w:tcW w:w="442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F18A4" w:rsidRDefault="00566AF6">
            <w:r>
              <w:t>Product Usability (6</w:t>
            </w:r>
            <w:r w:rsidR="00445699">
              <w:t>,1</w:t>
            </w:r>
            <w:r>
              <w:t>)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3F18A4" w:rsidRDefault="00D15026" w:rsidP="00445699">
            <w:r>
              <w:t>Usability/Use: Design (12,0)</w:t>
            </w:r>
          </w:p>
        </w:tc>
        <w:tc>
          <w:tcPr>
            <w:tcW w:w="5328" w:type="dxa"/>
            <w:gridSpan w:val="2"/>
            <w:tcBorders>
              <w:top w:val="single" w:sz="12" w:space="0" w:color="auto"/>
            </w:tcBorders>
          </w:tcPr>
          <w:p w:rsidR="003F18A4" w:rsidRPr="00A967E3" w:rsidRDefault="0038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GPG</w:t>
            </w:r>
            <w:r w:rsidR="00F06850">
              <w:rPr>
                <w:sz w:val="20"/>
                <w:szCs w:val="20"/>
              </w:rPr>
              <w:t xml:space="preserve"> covers many usability requirements (e.g., </w:t>
            </w:r>
            <w:proofErr w:type="spellStart"/>
            <w:r w:rsidR="00F06850">
              <w:rPr>
                <w:sz w:val="20"/>
                <w:szCs w:val="20"/>
              </w:rPr>
              <w:t>ergomics</w:t>
            </w:r>
            <w:proofErr w:type="spellEnd"/>
            <w:r w:rsidR="00F06850">
              <w:rPr>
                <w:sz w:val="20"/>
                <w:szCs w:val="20"/>
              </w:rPr>
              <w:t xml:space="preserve">, help, flexibility, readability, accessibility, response time); </w:t>
            </w:r>
            <w:proofErr w:type="spellStart"/>
            <w:r w:rsidR="00F06850">
              <w:rPr>
                <w:sz w:val="20"/>
                <w:szCs w:val="20"/>
              </w:rPr>
              <w:t>cMHAFF</w:t>
            </w:r>
            <w:proofErr w:type="spellEnd"/>
            <w:r w:rsidR="00F06850">
              <w:rPr>
                <w:sz w:val="20"/>
                <w:szCs w:val="20"/>
              </w:rPr>
              <w:t xml:space="preserve"> focuses more on development process and accessibility assessment</w:t>
            </w:r>
          </w:p>
        </w:tc>
      </w:tr>
      <w:tr w:rsidR="005D6418" w:rsidTr="00CD5206">
        <w:tc>
          <w:tcPr>
            <w:tcW w:w="4428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5D6418" w:rsidRDefault="005D6418" w:rsidP="008046E8"/>
        </w:tc>
        <w:tc>
          <w:tcPr>
            <w:tcW w:w="4860" w:type="dxa"/>
            <w:gridSpan w:val="2"/>
          </w:tcPr>
          <w:p w:rsidR="005D6418" w:rsidRDefault="005D6418" w:rsidP="008046E8">
            <w:r>
              <w:t>Usability/Use: Acceptability (6,0)</w:t>
            </w:r>
          </w:p>
        </w:tc>
        <w:tc>
          <w:tcPr>
            <w:tcW w:w="5328" w:type="dxa"/>
            <w:gridSpan w:val="2"/>
          </w:tcPr>
          <w:p w:rsidR="005D6418" w:rsidRPr="00A967E3" w:rsidRDefault="009B2CD7" w:rsidP="008046E8">
            <w:pPr>
              <w:rPr>
                <w:sz w:val="20"/>
                <w:szCs w:val="20"/>
              </w:rPr>
            </w:pPr>
            <w:r w:rsidRPr="00A967E3">
              <w:rPr>
                <w:sz w:val="20"/>
                <w:szCs w:val="20"/>
              </w:rPr>
              <w:t>Ratings/reviews (users and external groups) and adherence by users</w:t>
            </w:r>
          </w:p>
        </w:tc>
      </w:tr>
      <w:tr w:rsidR="005D6418" w:rsidTr="005B3A74">
        <w:tc>
          <w:tcPr>
            <w:tcW w:w="442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</w:tcPr>
          <w:p w:rsidR="005D6418" w:rsidRDefault="005D6418" w:rsidP="008046E8"/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5D6418" w:rsidRDefault="005D6418" w:rsidP="008046E8">
            <w:r>
              <w:t>Usability/Use: Integration/Import (6,0)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5D6418" w:rsidRPr="00A967E3" w:rsidRDefault="009B2CD7" w:rsidP="008046E8">
            <w:pPr>
              <w:rPr>
                <w:sz w:val="20"/>
                <w:szCs w:val="20"/>
              </w:rPr>
            </w:pPr>
            <w:r w:rsidRPr="00A967E3">
              <w:rPr>
                <w:sz w:val="20"/>
                <w:szCs w:val="20"/>
              </w:rPr>
              <w:t>Open infrastructure, social networks; search and retrieve/print data</w:t>
            </w:r>
          </w:p>
        </w:tc>
      </w:tr>
      <w:tr w:rsidR="005B3A74" w:rsidTr="005B3A74">
        <w:tc>
          <w:tcPr>
            <w:tcW w:w="4428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240B0" w:rsidRDefault="00A240B0" w:rsidP="008046E8">
            <w:r>
              <w:t>Notifications and Alerts (6,5)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240B0" w:rsidRDefault="00A240B0" w:rsidP="008046E8"/>
        </w:tc>
        <w:tc>
          <w:tcPr>
            <w:tcW w:w="532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A240B0" w:rsidRPr="00A967E3" w:rsidRDefault="005B3A74" w:rsidP="005B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Alerts mentioned a few times, but only for data entry error prevention or low battery </w:t>
            </w:r>
          </w:p>
        </w:tc>
      </w:tr>
      <w:tr w:rsidR="003F18A4" w:rsidTr="005B3A74">
        <w:tc>
          <w:tcPr>
            <w:tcW w:w="44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</w:tcPr>
          <w:p w:rsidR="003F18A4" w:rsidRDefault="004D18D6">
            <w:r>
              <w:t>App Store Experience</w:t>
            </w:r>
            <w:r w:rsidR="00566AF6">
              <w:t xml:space="preserve"> (10</w:t>
            </w:r>
            <w:r w:rsidR="00445699">
              <w:t>,6</w:t>
            </w:r>
            <w:r w:rsidR="00566AF6">
              <w:t>)</w:t>
            </w:r>
          </w:p>
        </w:tc>
        <w:tc>
          <w:tcPr>
            <w:tcW w:w="4860" w:type="dxa"/>
            <w:gridSpan w:val="2"/>
            <w:tcBorders>
              <w:top w:val="single" w:sz="18" w:space="0" w:color="auto"/>
              <w:bottom w:val="nil"/>
            </w:tcBorders>
            <w:shd w:val="clear" w:color="auto" w:fill="92D050"/>
          </w:tcPr>
          <w:p w:rsidR="003F18A4" w:rsidRDefault="004F7FC0" w:rsidP="00445699">
            <w:r>
              <w:t>Informing Users: Description</w:t>
            </w:r>
            <w:r w:rsidR="00445699">
              <w:t xml:space="preserve"> (7,3)</w:t>
            </w:r>
          </w:p>
        </w:tc>
        <w:tc>
          <w:tcPr>
            <w:tcW w:w="5328" w:type="dxa"/>
            <w:gridSpan w:val="2"/>
            <w:tcBorders>
              <w:top w:val="single" w:sz="18" w:space="0" w:color="auto"/>
            </w:tcBorders>
          </w:tcPr>
          <w:p w:rsidR="003F18A4" w:rsidRPr="00A967E3" w:rsidRDefault="00566AF6">
            <w:pPr>
              <w:rPr>
                <w:sz w:val="20"/>
                <w:szCs w:val="20"/>
              </w:rPr>
            </w:pPr>
            <w:proofErr w:type="spellStart"/>
            <w:r w:rsidRPr="00A967E3">
              <w:rPr>
                <w:sz w:val="20"/>
                <w:szCs w:val="20"/>
              </w:rPr>
              <w:t>cMHAFF</w:t>
            </w:r>
            <w:proofErr w:type="spellEnd"/>
            <w:r w:rsidRPr="00A967E3">
              <w:rPr>
                <w:sz w:val="20"/>
                <w:szCs w:val="20"/>
              </w:rPr>
              <w:t xml:space="preserve"> category includes requirements for app descriptions</w:t>
            </w:r>
            <w:r w:rsidR="00445699" w:rsidRPr="00A967E3">
              <w:rPr>
                <w:sz w:val="20"/>
                <w:szCs w:val="20"/>
              </w:rPr>
              <w:t>,</w:t>
            </w:r>
            <w:r w:rsidR="00BA281C">
              <w:rPr>
                <w:sz w:val="20"/>
                <w:szCs w:val="20"/>
              </w:rPr>
              <w:t xml:space="preserve"> </w:t>
            </w:r>
            <w:r w:rsidRPr="00A967E3">
              <w:rPr>
                <w:sz w:val="20"/>
                <w:szCs w:val="20"/>
              </w:rPr>
              <w:t>access to information</w:t>
            </w:r>
          </w:p>
          <w:p w:rsidR="004F7FC0" w:rsidRPr="00A967E3" w:rsidRDefault="0038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GPG</w:t>
            </w:r>
            <w:r w:rsidR="004F7FC0" w:rsidRPr="00A967E3">
              <w:rPr>
                <w:sz w:val="20"/>
                <w:szCs w:val="20"/>
              </w:rPr>
              <w:t xml:space="preserve"> category also maps to </w:t>
            </w:r>
            <w:proofErr w:type="spellStart"/>
            <w:r w:rsidR="004F7FC0" w:rsidRPr="00A967E3">
              <w:rPr>
                <w:sz w:val="20"/>
                <w:szCs w:val="20"/>
              </w:rPr>
              <w:t>cMHAFF</w:t>
            </w:r>
            <w:proofErr w:type="spellEnd"/>
            <w:r w:rsidR="004F7FC0" w:rsidRPr="00A967E3">
              <w:rPr>
                <w:sz w:val="20"/>
                <w:szCs w:val="20"/>
              </w:rPr>
              <w:t xml:space="preserve"> Nonfunctional Requirements</w:t>
            </w:r>
          </w:p>
        </w:tc>
      </w:tr>
      <w:tr w:rsidR="00445699" w:rsidTr="0038233C">
        <w:tc>
          <w:tcPr>
            <w:tcW w:w="4428" w:type="dxa"/>
            <w:tcBorders>
              <w:bottom w:val="nil"/>
            </w:tcBorders>
            <w:shd w:val="clear" w:color="auto" w:fill="FFFF00"/>
          </w:tcPr>
          <w:p w:rsidR="00445699" w:rsidRDefault="00445699" w:rsidP="00AE4D74">
            <w:r>
              <w:t>Nonfunctional Requirements: Conditions and Agreements (8</w:t>
            </w:r>
            <w:r w:rsidR="006D22AF">
              <w:t>,0</w:t>
            </w:r>
            <w:r>
              <w:t>)</w:t>
            </w: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:rsidR="00445699" w:rsidRDefault="00445699" w:rsidP="00AE4D74"/>
        </w:tc>
        <w:tc>
          <w:tcPr>
            <w:tcW w:w="5328" w:type="dxa"/>
            <w:gridSpan w:val="2"/>
          </w:tcPr>
          <w:p w:rsidR="00445699" w:rsidRPr="00A967E3" w:rsidRDefault="00445699" w:rsidP="00AE4D7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67E3">
              <w:rPr>
                <w:sz w:val="20"/>
                <w:szCs w:val="20"/>
              </w:rPr>
              <w:t>cMHAFF</w:t>
            </w:r>
            <w:proofErr w:type="spellEnd"/>
            <w:proofErr w:type="gramEnd"/>
            <w:r w:rsidRPr="00A967E3">
              <w:rPr>
                <w:sz w:val="20"/>
                <w:szCs w:val="20"/>
              </w:rPr>
              <w:t xml:space="preserve"> includes disclosures about app payments as well as sources of evidence. Overlaps with App Store Experience category</w:t>
            </w:r>
          </w:p>
        </w:tc>
      </w:tr>
      <w:tr w:rsidR="00DD306B" w:rsidTr="0038233C">
        <w:tc>
          <w:tcPr>
            <w:tcW w:w="4428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DD306B" w:rsidRDefault="00DD306B" w:rsidP="008046E8">
            <w:bookmarkStart w:id="0" w:name="_GoBack"/>
            <w:bookmarkEnd w:id="0"/>
          </w:p>
        </w:tc>
        <w:tc>
          <w:tcPr>
            <w:tcW w:w="4860" w:type="dxa"/>
            <w:gridSpan w:val="2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DD306B" w:rsidRDefault="00DD306B" w:rsidP="008046E8">
            <w:r>
              <w:t>Health Content: Design of Initial Content (11,1)</w:t>
            </w:r>
          </w:p>
        </w:tc>
        <w:tc>
          <w:tcPr>
            <w:tcW w:w="5328" w:type="dxa"/>
            <w:gridSpan w:val="2"/>
            <w:tcBorders>
              <w:bottom w:val="single" w:sz="12" w:space="0" w:color="auto"/>
            </w:tcBorders>
          </w:tcPr>
          <w:p w:rsidR="00DD306B" w:rsidRPr="00A967E3" w:rsidRDefault="00DD306B" w:rsidP="008046E8">
            <w:pPr>
              <w:rPr>
                <w:sz w:val="20"/>
                <w:szCs w:val="20"/>
              </w:rPr>
            </w:pPr>
            <w:r w:rsidRPr="00A967E3">
              <w:rPr>
                <w:sz w:val="20"/>
                <w:szCs w:val="20"/>
              </w:rPr>
              <w:t xml:space="preserve">Mild overlap with </w:t>
            </w:r>
            <w:proofErr w:type="spellStart"/>
            <w:r w:rsidRPr="00A967E3">
              <w:rPr>
                <w:sz w:val="20"/>
                <w:szCs w:val="20"/>
              </w:rPr>
              <w:t>cMHAFF</w:t>
            </w:r>
            <w:proofErr w:type="spellEnd"/>
            <w:r w:rsidRPr="00A967E3">
              <w:rPr>
                <w:sz w:val="20"/>
                <w:szCs w:val="20"/>
              </w:rPr>
              <w:t xml:space="preserve"> Nonfunctional Requirements, but </w:t>
            </w:r>
            <w:r w:rsidR="0038233C">
              <w:rPr>
                <w:sz w:val="20"/>
                <w:szCs w:val="20"/>
              </w:rPr>
              <w:t>GPG</w:t>
            </w:r>
            <w:r w:rsidRPr="00A967E3">
              <w:rPr>
                <w:sz w:val="20"/>
                <w:szCs w:val="20"/>
              </w:rPr>
              <w:t xml:space="preserve"> has much more detail</w:t>
            </w:r>
            <w:r w:rsidR="003D5475" w:rsidRPr="00A967E3">
              <w:rPr>
                <w:sz w:val="20"/>
                <w:szCs w:val="20"/>
              </w:rPr>
              <w:t xml:space="preserve">, e.g., user involvement, requirements methodology, author expertise, bibliographic references, level of evidence, intended use. </w:t>
            </w:r>
          </w:p>
        </w:tc>
      </w:tr>
      <w:tr w:rsidR="0038233C" w:rsidTr="0038233C">
        <w:tc>
          <w:tcPr>
            <w:tcW w:w="4872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38233C" w:rsidRDefault="0038233C">
            <w:r>
              <w:lastRenderedPageBreak/>
              <w:t>Launch App and Establish User Account (6,2)</w:t>
            </w:r>
          </w:p>
        </w:tc>
        <w:tc>
          <w:tcPr>
            <w:tcW w:w="4872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38233C" w:rsidRDefault="0038233C" w:rsidP="008046E8">
            <w:r>
              <w:t>Health Content: Generated Content (6,4)</w:t>
            </w:r>
          </w:p>
        </w:tc>
        <w:tc>
          <w:tcPr>
            <w:tcW w:w="4872" w:type="dxa"/>
            <w:tcBorders>
              <w:top w:val="single" w:sz="12" w:space="0" w:color="auto"/>
            </w:tcBorders>
          </w:tcPr>
          <w:p w:rsidR="0038233C" w:rsidRDefault="0038233C" w:rsidP="008046E8">
            <w:r>
              <w:t xml:space="preserve">Slight overlap w </w:t>
            </w:r>
            <w:proofErr w:type="spellStart"/>
            <w:r>
              <w:t>cMHAFF</w:t>
            </w:r>
            <w:proofErr w:type="spellEnd"/>
            <w:r>
              <w:t xml:space="preserve"> in minimization of data collected, but the categories are mostly different. </w:t>
            </w:r>
          </w:p>
        </w:tc>
      </w:tr>
      <w:tr w:rsidR="0038233C" w:rsidTr="006D22AF">
        <w:tc>
          <w:tcPr>
            <w:tcW w:w="4872" w:type="dxa"/>
            <w:gridSpan w:val="2"/>
            <w:shd w:val="clear" w:color="auto" w:fill="92D050"/>
          </w:tcPr>
          <w:p w:rsidR="0038233C" w:rsidRDefault="0038233C">
            <w:r>
              <w:t>User Authorizations for Data Collection and Use (10,3)</w:t>
            </w:r>
          </w:p>
        </w:tc>
        <w:tc>
          <w:tcPr>
            <w:tcW w:w="4872" w:type="dxa"/>
            <w:gridSpan w:val="2"/>
            <w:shd w:val="clear" w:color="auto" w:fill="92D050"/>
          </w:tcPr>
          <w:p w:rsidR="0038233C" w:rsidRDefault="0038233C">
            <w:r>
              <w:t>Informing Users: Consent (5,5)</w:t>
            </w:r>
          </w:p>
          <w:p w:rsidR="0038233C" w:rsidRDefault="0038233C">
            <w:r>
              <w:t>Security/Reliability: Confidentiality (5,2)</w:t>
            </w:r>
          </w:p>
        </w:tc>
        <w:tc>
          <w:tcPr>
            <w:tcW w:w="4872" w:type="dxa"/>
          </w:tcPr>
          <w:p w:rsidR="0038233C" w:rsidRDefault="0038233C"/>
        </w:tc>
      </w:tr>
      <w:tr w:rsidR="0038233C" w:rsidTr="0038233C">
        <w:tc>
          <w:tcPr>
            <w:tcW w:w="4872" w:type="dxa"/>
            <w:gridSpan w:val="2"/>
            <w:shd w:val="clear" w:color="auto" w:fill="FFFF00"/>
          </w:tcPr>
          <w:p w:rsidR="0038233C" w:rsidRDefault="0038233C">
            <w:r>
              <w:t>Pairing User Accounts with Devices and Data Repositories (5,4)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38233C" w:rsidRDefault="0038233C">
            <w:r>
              <w:t xml:space="preserve">Some discussion under Cybersecurity and </w:t>
            </w:r>
            <w:proofErr w:type="spellStart"/>
            <w:r>
              <w:t>Standardisation</w:t>
            </w:r>
            <w:proofErr w:type="spellEnd"/>
          </w:p>
        </w:tc>
        <w:tc>
          <w:tcPr>
            <w:tcW w:w="4872" w:type="dxa"/>
          </w:tcPr>
          <w:p w:rsidR="0038233C" w:rsidRDefault="0038233C">
            <w:r>
              <w:t>Authenticating and ensuring that device is paired with the right person</w:t>
            </w:r>
          </w:p>
        </w:tc>
      </w:tr>
      <w:tr w:rsidR="0038233C" w:rsidTr="006D22AF">
        <w:tc>
          <w:tcPr>
            <w:tcW w:w="4872" w:type="dxa"/>
            <w:gridSpan w:val="2"/>
            <w:shd w:val="clear" w:color="auto" w:fill="92D050"/>
          </w:tcPr>
          <w:p w:rsidR="0038233C" w:rsidRDefault="0038233C" w:rsidP="00AE4D74">
            <w:r>
              <w:t>User Authentication &amp; Authorization to Access App Services (6,4)</w:t>
            </w:r>
          </w:p>
        </w:tc>
        <w:tc>
          <w:tcPr>
            <w:tcW w:w="4872" w:type="dxa"/>
            <w:gridSpan w:val="2"/>
            <w:tcBorders>
              <w:bottom w:val="nil"/>
            </w:tcBorders>
            <w:shd w:val="clear" w:color="auto" w:fill="92D050"/>
          </w:tcPr>
          <w:p w:rsidR="0038233C" w:rsidRDefault="0038233C" w:rsidP="00AE4D74"/>
        </w:tc>
        <w:tc>
          <w:tcPr>
            <w:tcW w:w="4872" w:type="dxa"/>
          </w:tcPr>
          <w:p w:rsidR="0038233C" w:rsidRDefault="0038233C" w:rsidP="00AE4D74"/>
        </w:tc>
      </w:tr>
      <w:tr w:rsidR="0038233C" w:rsidTr="006D22AF">
        <w:tc>
          <w:tcPr>
            <w:tcW w:w="4872" w:type="dxa"/>
            <w:gridSpan w:val="2"/>
            <w:shd w:val="clear" w:color="auto" w:fill="92D050"/>
          </w:tcPr>
          <w:p w:rsidR="0038233C" w:rsidRDefault="0038233C">
            <w:r>
              <w:t>Security for Data at Rest (3,3)</w:t>
            </w:r>
          </w:p>
        </w:tc>
        <w:tc>
          <w:tcPr>
            <w:tcW w:w="4872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:rsidR="0038233C" w:rsidRDefault="0038233C">
            <w:r>
              <w:t>Security/Reliability: Cybersecurity (18,16)</w:t>
            </w:r>
          </w:p>
        </w:tc>
        <w:tc>
          <w:tcPr>
            <w:tcW w:w="4872" w:type="dxa"/>
          </w:tcPr>
          <w:p w:rsidR="0038233C" w:rsidRDefault="0038233C"/>
        </w:tc>
      </w:tr>
      <w:tr w:rsidR="0038233C" w:rsidTr="006D22AF">
        <w:tc>
          <w:tcPr>
            <w:tcW w:w="4872" w:type="dxa"/>
            <w:gridSpan w:val="2"/>
            <w:shd w:val="clear" w:color="auto" w:fill="92D050"/>
          </w:tcPr>
          <w:p w:rsidR="0038233C" w:rsidRDefault="0038233C">
            <w:r>
              <w:t>Security for Data in Transit (1,1)</w:t>
            </w:r>
          </w:p>
        </w:tc>
        <w:tc>
          <w:tcPr>
            <w:tcW w:w="4872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:rsidR="0038233C" w:rsidRDefault="0038233C"/>
        </w:tc>
        <w:tc>
          <w:tcPr>
            <w:tcW w:w="4872" w:type="dxa"/>
          </w:tcPr>
          <w:p w:rsidR="0038233C" w:rsidRDefault="0038233C"/>
        </w:tc>
      </w:tr>
      <w:tr w:rsidR="0038233C" w:rsidTr="006D22AF">
        <w:tc>
          <w:tcPr>
            <w:tcW w:w="4872" w:type="dxa"/>
            <w:gridSpan w:val="2"/>
            <w:shd w:val="clear" w:color="auto" w:fill="92D050"/>
          </w:tcPr>
          <w:p w:rsidR="0038233C" w:rsidRDefault="0038233C" w:rsidP="004D18D6">
            <w:r>
              <w:t>Data Authenticity, Provenance and Associated Metadata (4,1)</w:t>
            </w:r>
          </w:p>
        </w:tc>
        <w:tc>
          <w:tcPr>
            <w:tcW w:w="4872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:rsidR="0038233C" w:rsidRDefault="0038233C"/>
        </w:tc>
        <w:tc>
          <w:tcPr>
            <w:tcW w:w="4872" w:type="dxa"/>
          </w:tcPr>
          <w:p w:rsidR="0038233C" w:rsidRDefault="0038233C"/>
        </w:tc>
      </w:tr>
      <w:tr w:rsidR="0038233C" w:rsidTr="00A240B0"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8233C" w:rsidRDefault="0038233C" w:rsidP="00AE4D74">
            <w:r>
              <w:t>Audit (4,1)</w:t>
            </w:r>
          </w:p>
        </w:tc>
        <w:tc>
          <w:tcPr>
            <w:tcW w:w="4872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38233C" w:rsidRDefault="0038233C" w:rsidP="00AE4D74"/>
        </w:tc>
        <w:tc>
          <w:tcPr>
            <w:tcW w:w="4872" w:type="dxa"/>
            <w:tcBorders>
              <w:bottom w:val="single" w:sz="4" w:space="0" w:color="auto"/>
            </w:tcBorders>
          </w:tcPr>
          <w:p w:rsidR="0038233C" w:rsidRDefault="0038233C" w:rsidP="00AE4D74"/>
        </w:tc>
      </w:tr>
      <w:tr w:rsidR="0038233C" w:rsidTr="00A967E3">
        <w:tc>
          <w:tcPr>
            <w:tcW w:w="4872" w:type="dxa"/>
            <w:gridSpan w:val="2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38233C" w:rsidRDefault="0038233C" w:rsidP="008046E8"/>
        </w:tc>
        <w:tc>
          <w:tcPr>
            <w:tcW w:w="4872" w:type="dxa"/>
            <w:gridSpan w:val="2"/>
            <w:tcBorders>
              <w:bottom w:val="single" w:sz="18" w:space="0" w:color="auto"/>
            </w:tcBorders>
          </w:tcPr>
          <w:p w:rsidR="0038233C" w:rsidRDefault="0038233C" w:rsidP="008046E8">
            <w:r>
              <w:t>Security/Reliability: Reliability (9,1)</w:t>
            </w:r>
          </w:p>
        </w:tc>
        <w:tc>
          <w:tcPr>
            <w:tcW w:w="4872" w:type="dxa"/>
            <w:tcBorders>
              <w:bottom w:val="single" w:sz="18" w:space="0" w:color="auto"/>
            </w:tcBorders>
          </w:tcPr>
          <w:p w:rsidR="0038233C" w:rsidRDefault="0038233C" w:rsidP="008046E8">
            <w:r>
              <w:t>Reliability (safety, failure detection) and availability (uptime) of hardware, sensors, software, materials, infrastructure</w:t>
            </w:r>
          </w:p>
        </w:tc>
      </w:tr>
      <w:tr w:rsidR="0038233C" w:rsidTr="00A967E3">
        <w:tc>
          <w:tcPr>
            <w:tcW w:w="4872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8233C" w:rsidRDefault="0038233C" w:rsidP="004D18D6">
            <w:r>
              <w:t>Product Upgrades (4,1)</w:t>
            </w:r>
          </w:p>
        </w:tc>
        <w:tc>
          <w:tcPr>
            <w:tcW w:w="487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38233C" w:rsidRDefault="0038233C"/>
        </w:tc>
        <w:tc>
          <w:tcPr>
            <w:tcW w:w="48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38233C" w:rsidRDefault="0038233C">
            <w:r>
              <w:t>Notifying user, getting permission for updates</w:t>
            </w:r>
          </w:p>
        </w:tc>
      </w:tr>
      <w:tr w:rsidR="0038233C" w:rsidTr="00A967E3">
        <w:tc>
          <w:tcPr>
            <w:tcW w:w="4872" w:type="dxa"/>
            <w:gridSpan w:val="2"/>
            <w:tcBorders>
              <w:top w:val="single" w:sz="4" w:space="0" w:color="auto"/>
            </w:tcBorders>
          </w:tcPr>
          <w:p w:rsidR="0038233C" w:rsidRDefault="0038233C" w:rsidP="00445699">
            <w:r>
              <w:t>App and Data Removal (7,5)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38233C" w:rsidRDefault="0038233C"/>
        </w:tc>
        <w:tc>
          <w:tcPr>
            <w:tcW w:w="4872" w:type="dxa"/>
            <w:tcBorders>
              <w:top w:val="single" w:sz="4" w:space="0" w:color="auto"/>
            </w:tcBorders>
          </w:tcPr>
          <w:p w:rsidR="0038233C" w:rsidRDefault="0038233C">
            <w:r>
              <w:t>Removing app, local data and remote (hosted) data</w:t>
            </w:r>
          </w:p>
        </w:tc>
      </w:tr>
      <w:tr w:rsidR="0038233C" w:rsidTr="00A967E3">
        <w:tc>
          <w:tcPr>
            <w:tcW w:w="4872" w:type="dxa"/>
            <w:gridSpan w:val="2"/>
          </w:tcPr>
          <w:p w:rsidR="0038233C" w:rsidRDefault="0038233C" w:rsidP="004D18D6">
            <w:r>
              <w:t>Permitted Uses of Data Post Account Closure (1,1)</w:t>
            </w:r>
          </w:p>
        </w:tc>
        <w:tc>
          <w:tcPr>
            <w:tcW w:w="4872" w:type="dxa"/>
            <w:gridSpan w:val="2"/>
            <w:shd w:val="clear" w:color="auto" w:fill="D99594" w:themeFill="accent2" w:themeFillTint="99"/>
          </w:tcPr>
          <w:p w:rsidR="0038233C" w:rsidRDefault="0038233C"/>
        </w:tc>
        <w:tc>
          <w:tcPr>
            <w:tcW w:w="4872" w:type="dxa"/>
          </w:tcPr>
          <w:p w:rsidR="0038233C" w:rsidRDefault="0038233C">
            <w:r>
              <w:t>Restriction on further release of data</w:t>
            </w:r>
          </w:p>
        </w:tc>
      </w:tr>
      <w:tr w:rsidR="0038233C" w:rsidTr="00A967E3">
        <w:tc>
          <w:tcPr>
            <w:tcW w:w="4872" w:type="dxa"/>
            <w:gridSpan w:val="2"/>
            <w:shd w:val="clear" w:color="auto" w:fill="D99594" w:themeFill="accent2" w:themeFillTint="99"/>
          </w:tcPr>
          <w:p w:rsidR="0038233C" w:rsidRDefault="0038233C" w:rsidP="004D18D6"/>
        </w:tc>
        <w:tc>
          <w:tcPr>
            <w:tcW w:w="4872" w:type="dxa"/>
            <w:gridSpan w:val="2"/>
          </w:tcPr>
          <w:p w:rsidR="0038233C" w:rsidRDefault="0038233C">
            <w:r>
              <w:t xml:space="preserve">Health Content: </w:t>
            </w:r>
            <w:proofErr w:type="spellStart"/>
            <w:r>
              <w:t>Standardisation</w:t>
            </w:r>
            <w:proofErr w:type="spellEnd"/>
            <w:r>
              <w:t xml:space="preserve"> (6,1)</w:t>
            </w:r>
          </w:p>
        </w:tc>
        <w:tc>
          <w:tcPr>
            <w:tcW w:w="4872" w:type="dxa"/>
          </w:tcPr>
          <w:p w:rsidR="0038233C" w:rsidRDefault="0038233C" w:rsidP="006D36F5">
            <w:r>
              <w:t xml:space="preserve">Surprisingly, </w:t>
            </w:r>
            <w:proofErr w:type="spellStart"/>
            <w:r>
              <w:t>cMHAFF</w:t>
            </w:r>
            <w:proofErr w:type="spellEnd"/>
            <w:r>
              <w:t xml:space="preserve"> has very little reference to standards for interoperability</w:t>
            </w:r>
          </w:p>
        </w:tc>
      </w:tr>
      <w:tr w:rsidR="0038233C" w:rsidTr="00A967E3">
        <w:tc>
          <w:tcPr>
            <w:tcW w:w="4872" w:type="dxa"/>
            <w:gridSpan w:val="2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38233C" w:rsidRDefault="0038233C" w:rsidP="004D18D6"/>
        </w:tc>
        <w:tc>
          <w:tcPr>
            <w:tcW w:w="4872" w:type="dxa"/>
            <w:gridSpan w:val="2"/>
            <w:tcBorders>
              <w:bottom w:val="single" w:sz="18" w:space="0" w:color="auto"/>
            </w:tcBorders>
          </w:tcPr>
          <w:p w:rsidR="0038233C" w:rsidRDefault="0038233C" w:rsidP="004F7FC0">
            <w:r>
              <w:t>Health Content: Interpreted Content (3,0)</w:t>
            </w:r>
          </w:p>
        </w:tc>
        <w:tc>
          <w:tcPr>
            <w:tcW w:w="4872" w:type="dxa"/>
            <w:tcBorders>
              <w:bottom w:val="single" w:sz="18" w:space="0" w:color="auto"/>
            </w:tcBorders>
          </w:tcPr>
          <w:p w:rsidR="0038233C" w:rsidRDefault="0038233C" w:rsidP="006D36F5">
            <w:r>
              <w:t>Algorithms or human interpretation</w:t>
            </w:r>
          </w:p>
        </w:tc>
      </w:tr>
      <w:tr w:rsidR="0038233C" w:rsidTr="00A967E3">
        <w:tc>
          <w:tcPr>
            <w:tcW w:w="487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8233C" w:rsidRDefault="0038233C" w:rsidP="004D18D6">
            <w:r>
              <w:t>Exemplary Use Cases</w:t>
            </w:r>
          </w:p>
        </w:tc>
        <w:tc>
          <w:tcPr>
            <w:tcW w:w="487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38233C" w:rsidRDefault="0038233C" w:rsidP="004F7FC0"/>
        </w:tc>
        <w:tc>
          <w:tcPr>
            <w:tcW w:w="4872" w:type="dxa"/>
            <w:tcBorders>
              <w:top w:val="single" w:sz="18" w:space="0" w:color="auto"/>
              <w:bottom w:val="single" w:sz="4" w:space="0" w:color="auto"/>
            </w:tcBorders>
          </w:tcPr>
          <w:p w:rsidR="0038233C" w:rsidRDefault="0038233C" w:rsidP="006D36F5">
            <w:r>
              <w:t>GPG doesn’t have Use Cases.</w:t>
            </w:r>
          </w:p>
        </w:tc>
      </w:tr>
      <w:tr w:rsidR="0038233C" w:rsidTr="00BF45A6">
        <w:tc>
          <w:tcPr>
            <w:tcW w:w="487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33C" w:rsidRDefault="0038233C" w:rsidP="004D18D6"/>
        </w:tc>
        <w:tc>
          <w:tcPr>
            <w:tcW w:w="4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3C" w:rsidRDefault="0038233C" w:rsidP="004F7FC0">
            <w:r>
              <w:t>Principles 1.5.2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8233C" w:rsidRDefault="0038233C" w:rsidP="006D36F5">
            <w:r>
              <w:t>Helpful to establish principles for compliance, before diving into details</w:t>
            </w:r>
          </w:p>
        </w:tc>
      </w:tr>
      <w:tr w:rsidR="0038233C" w:rsidTr="00093E9D">
        <w:tc>
          <w:tcPr>
            <w:tcW w:w="48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8233C" w:rsidRDefault="00093E9D" w:rsidP="004D18D6">
            <w:r>
              <w:t>(Multiple)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8233C" w:rsidRDefault="0038233C" w:rsidP="004F7FC0">
            <w:r>
              <w:t>Bibliography and Literature Scan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33C" w:rsidRDefault="0038233C" w:rsidP="00421B38">
            <w:r>
              <w:t>GPG bibliography is far more extensive</w:t>
            </w:r>
            <w:r w:rsidR="00421B38">
              <w:t xml:space="preserve">. </w:t>
            </w:r>
            <w:proofErr w:type="spellStart"/>
            <w:proofErr w:type="gramStart"/>
            <w:r w:rsidR="00421B38">
              <w:t>cMHAFF</w:t>
            </w:r>
            <w:proofErr w:type="spellEnd"/>
            <w:proofErr w:type="gramEnd"/>
            <w:r w:rsidR="00421B38">
              <w:t xml:space="preserve"> references are sprinkled into all categories. Some </w:t>
            </w:r>
            <w:proofErr w:type="spellStart"/>
            <w:r>
              <w:t>cMHAFF</w:t>
            </w:r>
            <w:proofErr w:type="spellEnd"/>
            <w:r>
              <w:t xml:space="preserve"> references should be added for US-Realm. </w:t>
            </w:r>
          </w:p>
        </w:tc>
      </w:tr>
      <w:tr w:rsidR="0038233C" w:rsidTr="00BF45A6">
        <w:tc>
          <w:tcPr>
            <w:tcW w:w="487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8233C" w:rsidRDefault="0038233C" w:rsidP="004D18D6"/>
        </w:tc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33C" w:rsidRDefault="0038233C" w:rsidP="004F7FC0"/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</w:tcBorders>
          </w:tcPr>
          <w:p w:rsidR="0038233C" w:rsidRDefault="0038233C" w:rsidP="006D36F5"/>
        </w:tc>
      </w:tr>
    </w:tbl>
    <w:p w:rsidR="003F18A4" w:rsidRDefault="003F18A4"/>
    <w:sectPr w:rsidR="003F18A4" w:rsidSect="003F1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48" w:rsidRDefault="00B54748" w:rsidP="00F06850">
      <w:pPr>
        <w:spacing w:after="0" w:line="240" w:lineRule="auto"/>
      </w:pPr>
      <w:r>
        <w:separator/>
      </w:r>
    </w:p>
  </w:endnote>
  <w:endnote w:type="continuationSeparator" w:id="0">
    <w:p w:rsidR="00B54748" w:rsidRDefault="00B54748" w:rsidP="00F0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48" w:rsidRDefault="00B54748" w:rsidP="00F06850">
      <w:pPr>
        <w:spacing w:after="0" w:line="240" w:lineRule="auto"/>
      </w:pPr>
      <w:r>
        <w:separator/>
      </w:r>
    </w:p>
  </w:footnote>
  <w:footnote w:type="continuationSeparator" w:id="0">
    <w:p w:rsidR="00B54748" w:rsidRDefault="00B54748" w:rsidP="00F06850">
      <w:pPr>
        <w:spacing w:after="0" w:line="240" w:lineRule="auto"/>
      </w:pPr>
      <w:r>
        <w:continuationSeparator/>
      </w:r>
    </w:p>
  </w:footnote>
  <w:footnote w:id="1">
    <w:p w:rsidR="00F06850" w:rsidRDefault="00F068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8233C">
        <w:t>HAS</w:t>
      </w:r>
      <w:r>
        <w:t xml:space="preserve"> = </w:t>
      </w:r>
      <w:r w:rsidRPr="00F06850">
        <w:t xml:space="preserve">Haute </w:t>
      </w:r>
      <w:proofErr w:type="spellStart"/>
      <w:r w:rsidRPr="00F06850">
        <w:t>Autorité</w:t>
      </w:r>
      <w:proofErr w:type="spellEnd"/>
      <w:r w:rsidRPr="00F06850">
        <w:t xml:space="preserve"> de Santé</w:t>
      </w:r>
      <w:r>
        <w:t xml:space="preserve"> (High Authority of Health)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4"/>
    <w:rsid w:val="00093E9D"/>
    <w:rsid w:val="000B3825"/>
    <w:rsid w:val="00194693"/>
    <w:rsid w:val="0038233C"/>
    <w:rsid w:val="0038283A"/>
    <w:rsid w:val="003A59AF"/>
    <w:rsid w:val="003D5475"/>
    <w:rsid w:val="003F18A4"/>
    <w:rsid w:val="00421B38"/>
    <w:rsid w:val="00445699"/>
    <w:rsid w:val="004C7295"/>
    <w:rsid w:val="004D18D6"/>
    <w:rsid w:val="004F7FC0"/>
    <w:rsid w:val="00527647"/>
    <w:rsid w:val="00566AF6"/>
    <w:rsid w:val="005B3A74"/>
    <w:rsid w:val="005B610C"/>
    <w:rsid w:val="005D6418"/>
    <w:rsid w:val="006C3798"/>
    <w:rsid w:val="006D22AF"/>
    <w:rsid w:val="006D36F5"/>
    <w:rsid w:val="0092037D"/>
    <w:rsid w:val="00933686"/>
    <w:rsid w:val="009B2CD7"/>
    <w:rsid w:val="00A240B0"/>
    <w:rsid w:val="00A967E3"/>
    <w:rsid w:val="00B54748"/>
    <w:rsid w:val="00BA281C"/>
    <w:rsid w:val="00BF45A6"/>
    <w:rsid w:val="00CD5206"/>
    <w:rsid w:val="00D15026"/>
    <w:rsid w:val="00DD306B"/>
    <w:rsid w:val="00E84661"/>
    <w:rsid w:val="00F06850"/>
    <w:rsid w:val="00F13D13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6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6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28</cp:revision>
  <dcterms:created xsi:type="dcterms:W3CDTF">2017-06-22T14:10:00Z</dcterms:created>
  <dcterms:modified xsi:type="dcterms:W3CDTF">2017-06-27T22:55:00Z</dcterms:modified>
</cp:coreProperties>
</file>