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8A" w:rsidRDefault="00192F58" w:rsidP="00A23BD6">
      <w:pPr>
        <w:pStyle w:val="Heading2"/>
        <w:jc w:val="center"/>
      </w:pPr>
      <w:bookmarkStart w:id="0" w:name="_GoBack"/>
      <w:bookmarkEnd w:id="0"/>
      <w:r>
        <w:t>Proposed Webinar Topics for 2014</w:t>
      </w:r>
    </w:p>
    <w:p w:rsidR="008607EA" w:rsidRPr="00A23BD6" w:rsidRDefault="008607EA" w:rsidP="008607EA">
      <w:pPr>
        <w:pStyle w:val="NoSpacing"/>
        <w:rPr>
          <w:sz w:val="20"/>
          <w:szCs w:val="20"/>
        </w:rPr>
      </w:pPr>
      <w:r w:rsidRPr="00A23BD6">
        <w:rPr>
          <w:b/>
          <w:sz w:val="20"/>
          <w:szCs w:val="20"/>
        </w:rPr>
        <w:t>Skill Building Webinars</w:t>
      </w:r>
      <w:r w:rsidRPr="00A23BD6">
        <w:rPr>
          <w:sz w:val="20"/>
          <w:szCs w:val="20"/>
        </w:rPr>
        <w:t xml:space="preserve"> – Focus on technical skill building in the standards</w:t>
      </w:r>
      <w:r w:rsidR="00A23BD6">
        <w:rPr>
          <w:sz w:val="20"/>
          <w:szCs w:val="20"/>
        </w:rPr>
        <w:t xml:space="preserve"> (Fee-based)</w:t>
      </w:r>
    </w:p>
    <w:p w:rsidR="008607EA" w:rsidRPr="00A23BD6" w:rsidRDefault="008607EA" w:rsidP="008607EA">
      <w:pPr>
        <w:pStyle w:val="NoSpacing"/>
        <w:rPr>
          <w:sz w:val="20"/>
          <w:szCs w:val="20"/>
        </w:rPr>
      </w:pPr>
      <w:r w:rsidRPr="00A23BD6">
        <w:rPr>
          <w:b/>
          <w:sz w:val="20"/>
          <w:szCs w:val="20"/>
        </w:rPr>
        <w:t>Member Advantage Webinars</w:t>
      </w:r>
      <w:r w:rsidRPr="00A23BD6">
        <w:rPr>
          <w:sz w:val="20"/>
          <w:szCs w:val="20"/>
        </w:rPr>
        <w:t xml:space="preserve"> – Focus on bigger picture, </w:t>
      </w:r>
      <w:r w:rsidR="00A23BD6" w:rsidRPr="00A23BD6">
        <w:rPr>
          <w:sz w:val="20"/>
          <w:szCs w:val="20"/>
        </w:rPr>
        <w:t>not as in-depth as skill building, hot topics</w:t>
      </w:r>
      <w:r w:rsidR="001173C6">
        <w:rPr>
          <w:sz w:val="20"/>
          <w:szCs w:val="20"/>
        </w:rPr>
        <w:t xml:space="preserve"> and issues.</w:t>
      </w:r>
      <w:r w:rsidR="00A23BD6">
        <w:rPr>
          <w:sz w:val="20"/>
          <w:szCs w:val="20"/>
        </w:rPr>
        <w:t xml:space="preserve"> (Free to members)</w:t>
      </w:r>
    </w:p>
    <w:p w:rsidR="00A23BD6" w:rsidRDefault="00A23BD6" w:rsidP="008607EA">
      <w:pPr>
        <w:pStyle w:val="NoSpacing"/>
        <w:rPr>
          <w:sz w:val="20"/>
          <w:szCs w:val="20"/>
        </w:rPr>
      </w:pPr>
      <w:r w:rsidRPr="00A23BD6">
        <w:rPr>
          <w:b/>
          <w:sz w:val="20"/>
          <w:szCs w:val="20"/>
        </w:rPr>
        <w:t xml:space="preserve">Other </w:t>
      </w:r>
      <w:r w:rsidRPr="00A23BD6">
        <w:rPr>
          <w:sz w:val="20"/>
          <w:szCs w:val="20"/>
        </w:rPr>
        <w:t xml:space="preserve">– Not </w:t>
      </w:r>
      <w:r>
        <w:rPr>
          <w:sz w:val="20"/>
          <w:szCs w:val="20"/>
        </w:rPr>
        <w:t>certain abo</w:t>
      </w:r>
      <w:r w:rsidR="001173C6">
        <w:rPr>
          <w:sz w:val="20"/>
          <w:szCs w:val="20"/>
        </w:rPr>
        <w:t>ut</w:t>
      </w:r>
      <w:r>
        <w:rPr>
          <w:sz w:val="20"/>
          <w:szCs w:val="20"/>
        </w:rPr>
        <w:t xml:space="preserve"> </w:t>
      </w:r>
      <w:r w:rsidRPr="00A23BD6">
        <w:rPr>
          <w:sz w:val="20"/>
          <w:szCs w:val="20"/>
        </w:rPr>
        <w:t>category</w:t>
      </w:r>
      <w:r>
        <w:rPr>
          <w:sz w:val="20"/>
          <w:szCs w:val="20"/>
        </w:rPr>
        <w:t xml:space="preserve"> for these topics</w:t>
      </w:r>
      <w:r w:rsidRPr="00A23BD6">
        <w:rPr>
          <w:sz w:val="20"/>
          <w:szCs w:val="20"/>
        </w:rPr>
        <w:t>, but could be Amba</w:t>
      </w:r>
      <w:r>
        <w:rPr>
          <w:sz w:val="20"/>
          <w:szCs w:val="20"/>
        </w:rPr>
        <w:t>s</w:t>
      </w:r>
      <w:r w:rsidRPr="00A23BD6">
        <w:rPr>
          <w:sz w:val="20"/>
          <w:szCs w:val="20"/>
        </w:rPr>
        <w:t xml:space="preserve">sador </w:t>
      </w:r>
      <w:proofErr w:type="gramStart"/>
      <w:r w:rsidRPr="00A23BD6">
        <w:rPr>
          <w:sz w:val="20"/>
          <w:szCs w:val="20"/>
        </w:rPr>
        <w:t>type</w:t>
      </w:r>
      <w:proofErr w:type="gramEnd"/>
      <w:r w:rsidRPr="00A23BD6">
        <w:rPr>
          <w:sz w:val="20"/>
          <w:szCs w:val="20"/>
        </w:rPr>
        <w:t xml:space="preserve"> webinar, not in-depth but designed to be of interest to larger audiences. </w:t>
      </w:r>
      <w:r>
        <w:rPr>
          <w:sz w:val="20"/>
          <w:szCs w:val="20"/>
        </w:rPr>
        <w:t>(Free to anyone)</w:t>
      </w:r>
    </w:p>
    <w:p w:rsidR="00A23BD6" w:rsidRPr="00A23BD6" w:rsidRDefault="00A23BD6" w:rsidP="008607EA">
      <w:pPr>
        <w:pStyle w:val="NoSpacing"/>
        <w:rPr>
          <w:sz w:val="20"/>
          <w:szCs w:val="20"/>
        </w:rPr>
      </w:pPr>
    </w:p>
    <w:tbl>
      <w:tblPr>
        <w:tblStyle w:val="TableGrid"/>
        <w:tblW w:w="0" w:type="auto"/>
        <w:tblLook w:val="04A0" w:firstRow="1" w:lastRow="0" w:firstColumn="1" w:lastColumn="0" w:noHBand="0" w:noVBand="1"/>
      </w:tblPr>
      <w:tblGrid>
        <w:gridCol w:w="3192"/>
        <w:gridCol w:w="3192"/>
        <w:gridCol w:w="3192"/>
      </w:tblGrid>
      <w:tr w:rsidR="00192F58" w:rsidRPr="004B70BF" w:rsidTr="00192F58">
        <w:tc>
          <w:tcPr>
            <w:tcW w:w="3192" w:type="dxa"/>
          </w:tcPr>
          <w:p w:rsidR="00192F58" w:rsidRPr="004B70BF" w:rsidRDefault="004B70BF" w:rsidP="00192F58">
            <w:pPr>
              <w:pStyle w:val="NoSpacing"/>
              <w:rPr>
                <w:b/>
              </w:rPr>
            </w:pPr>
            <w:r w:rsidRPr="004B70BF">
              <w:rPr>
                <w:b/>
              </w:rPr>
              <w:t>Skill Building</w:t>
            </w:r>
          </w:p>
        </w:tc>
        <w:tc>
          <w:tcPr>
            <w:tcW w:w="3192" w:type="dxa"/>
          </w:tcPr>
          <w:p w:rsidR="00192F58" w:rsidRPr="004B70BF" w:rsidRDefault="004B70BF" w:rsidP="00192F58">
            <w:pPr>
              <w:pStyle w:val="NoSpacing"/>
              <w:rPr>
                <w:b/>
              </w:rPr>
            </w:pPr>
            <w:r w:rsidRPr="004B70BF">
              <w:rPr>
                <w:b/>
              </w:rPr>
              <w:t>Member Advantage</w:t>
            </w:r>
          </w:p>
        </w:tc>
        <w:tc>
          <w:tcPr>
            <w:tcW w:w="3192" w:type="dxa"/>
          </w:tcPr>
          <w:p w:rsidR="00192F58" w:rsidRPr="004B70BF" w:rsidRDefault="004B70BF" w:rsidP="00192F58">
            <w:pPr>
              <w:pStyle w:val="NoSpacing"/>
              <w:rPr>
                <w:b/>
              </w:rPr>
            </w:pPr>
            <w:r w:rsidRPr="004B70BF">
              <w:rPr>
                <w:b/>
              </w:rPr>
              <w:t>Other</w:t>
            </w:r>
          </w:p>
        </w:tc>
      </w:tr>
      <w:tr w:rsidR="00192F58" w:rsidTr="00192F58">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4B70BF">
              <w:rPr>
                <w:rFonts w:ascii="Times New Roman" w:eastAsia="Times New Roman" w:hAnsi="Times New Roman" w:cs="Times New Roman"/>
                <w:sz w:val="20"/>
                <w:szCs w:val="20"/>
              </w:rPr>
              <w:t xml:space="preserve">Presentations re: understanding CDA </w:t>
            </w:r>
          </w:p>
        </w:tc>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Secondary use of health information </w:t>
            </w:r>
          </w:p>
        </w:tc>
        <w:tc>
          <w:tcPr>
            <w:tcW w:w="3192" w:type="dxa"/>
          </w:tcPr>
          <w:p w:rsidR="00192F58" w:rsidRPr="004B70BF" w:rsidRDefault="00FE186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Attachments as proposed in the NCVHS recommendation to HHS.</w:t>
            </w:r>
          </w:p>
        </w:tc>
      </w:tr>
      <w:tr w:rsidR="00192F58" w:rsidTr="00192F58">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proofErr w:type="spellStart"/>
            <w:r w:rsidRPr="005C76C2">
              <w:rPr>
                <w:rFonts w:ascii="Times New Roman" w:eastAsia="Times New Roman" w:hAnsi="Times New Roman" w:cs="Times New Roman"/>
                <w:sz w:val="20"/>
                <w:szCs w:val="20"/>
              </w:rPr>
              <w:t>vMR</w:t>
            </w:r>
            <w:proofErr w:type="spellEnd"/>
            <w:r w:rsidRPr="005C76C2">
              <w:rPr>
                <w:rFonts w:ascii="Times New Roman" w:eastAsia="Times New Roman" w:hAnsi="Times New Roman" w:cs="Times New Roman"/>
                <w:sz w:val="20"/>
                <w:szCs w:val="20"/>
              </w:rPr>
              <w:t xml:space="preserve">/QDM harmonization </w:t>
            </w:r>
          </w:p>
        </w:tc>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More information on the evolution and status of FHIR </w:t>
            </w:r>
          </w:p>
        </w:tc>
        <w:tc>
          <w:tcPr>
            <w:tcW w:w="3192" w:type="dxa"/>
          </w:tcPr>
          <w:p w:rsidR="00192F58" w:rsidRPr="004B70BF" w:rsidRDefault="00192F58" w:rsidP="004B70BF">
            <w:pPr>
              <w:spacing w:before="100" w:beforeAutospacing="1" w:after="100" w:afterAutospacing="1"/>
              <w:rPr>
                <w:rFonts w:ascii="Times New Roman" w:eastAsia="Times New Roman" w:hAnsi="Times New Roman" w:cs="Times New Roman"/>
                <w:sz w:val="20"/>
                <w:szCs w:val="20"/>
              </w:rPr>
            </w:pPr>
          </w:p>
        </w:tc>
      </w:tr>
      <w:tr w:rsidR="00192F58" w:rsidTr="00192F58">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More discussion of Cypress requirements and report generation, regarding 2014 Edition certification of EHRs. </w:t>
            </w:r>
          </w:p>
        </w:tc>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HL7 and IHE: cooperation competition, differentiation, overlaps </w:t>
            </w:r>
          </w:p>
        </w:tc>
        <w:tc>
          <w:tcPr>
            <w:tcW w:w="3192" w:type="dxa"/>
          </w:tcPr>
          <w:p w:rsidR="00192F58" w:rsidRPr="004B70BF" w:rsidRDefault="00192F58" w:rsidP="004B70BF">
            <w:pPr>
              <w:spacing w:before="100" w:beforeAutospacing="1" w:after="100" w:afterAutospacing="1"/>
              <w:rPr>
                <w:rFonts w:ascii="Times New Roman" w:eastAsia="Times New Roman" w:hAnsi="Times New Roman" w:cs="Times New Roman"/>
                <w:sz w:val="20"/>
                <w:szCs w:val="20"/>
              </w:rPr>
            </w:pPr>
          </w:p>
        </w:tc>
      </w:tr>
      <w:tr w:rsidR="00192F58" w:rsidTr="00192F58">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More discussion of Cypress requirements and report generation, regarding 2014 Edition certification of EHRs. </w:t>
            </w:r>
          </w:p>
        </w:tc>
        <w:tc>
          <w:tcPr>
            <w:tcW w:w="3192" w:type="dxa"/>
          </w:tcPr>
          <w:p w:rsidR="004B70BF" w:rsidRPr="005C76C2"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Topics on Health Information Exchanges </w:t>
            </w:r>
          </w:p>
          <w:p w:rsidR="00192F58" w:rsidRDefault="00192F58" w:rsidP="00192F58">
            <w:pPr>
              <w:pStyle w:val="NoSpacing"/>
            </w:pPr>
          </w:p>
        </w:tc>
        <w:tc>
          <w:tcPr>
            <w:tcW w:w="3192" w:type="dxa"/>
          </w:tcPr>
          <w:p w:rsidR="00192F58" w:rsidRPr="00AF7FFC" w:rsidRDefault="00192F58" w:rsidP="00AF7FFC">
            <w:pPr>
              <w:spacing w:before="100" w:beforeAutospacing="1" w:after="100" w:afterAutospacing="1"/>
              <w:rPr>
                <w:rFonts w:ascii="Times New Roman" w:eastAsia="Times New Roman" w:hAnsi="Times New Roman" w:cs="Times New Roman"/>
                <w:sz w:val="20"/>
                <w:szCs w:val="20"/>
              </w:rPr>
            </w:pPr>
          </w:p>
        </w:tc>
      </w:tr>
      <w:tr w:rsidR="00192F58" w:rsidTr="00192F58">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C-CDA, CCD and their relationship to MU </w:t>
            </w:r>
          </w:p>
        </w:tc>
        <w:tc>
          <w:tcPr>
            <w:tcW w:w="3192" w:type="dxa"/>
          </w:tcPr>
          <w:p w:rsidR="00192F58" w:rsidRPr="00AF7FFC" w:rsidRDefault="00FE186F" w:rsidP="00FE186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More information on how HL7 standards are used in clinical environments. As a member of the device industry (manufacturer), it is very helpful to understand how information coming from regulatory submissions (using SPL, CPM, RPS, </w:t>
            </w:r>
            <w:proofErr w:type="gramStart"/>
            <w:r w:rsidRPr="005C76C2">
              <w:rPr>
                <w:rFonts w:ascii="Times New Roman" w:eastAsia="Times New Roman" w:hAnsi="Times New Roman" w:cs="Times New Roman"/>
                <w:sz w:val="20"/>
                <w:szCs w:val="20"/>
              </w:rPr>
              <w:t>ICSR</w:t>
            </w:r>
            <w:proofErr w:type="gramEnd"/>
            <w:r w:rsidRPr="005C76C2">
              <w:rPr>
                <w:rFonts w:ascii="Times New Roman" w:eastAsia="Times New Roman" w:hAnsi="Times New Roman" w:cs="Times New Roman"/>
                <w:sz w:val="20"/>
                <w:szCs w:val="20"/>
              </w:rPr>
              <w:t xml:space="preserve"> standards) is used in downstream uses, such as EHRs, quality reports, registries, etc. We know that the information flows to the NLM, but know very little of how information flows within healthcare systems.</w:t>
            </w:r>
            <w:r w:rsidR="00AF7FFC" w:rsidRPr="005C76C2">
              <w:rPr>
                <w:rFonts w:ascii="Times New Roman" w:eastAsia="Times New Roman" w:hAnsi="Times New Roman" w:cs="Times New Roman"/>
                <w:sz w:val="20"/>
                <w:szCs w:val="20"/>
              </w:rPr>
              <w:t xml:space="preserve"> </w:t>
            </w:r>
          </w:p>
        </w:tc>
        <w:tc>
          <w:tcPr>
            <w:tcW w:w="3192" w:type="dxa"/>
          </w:tcPr>
          <w:p w:rsidR="00192F58" w:rsidRPr="00AF7FFC" w:rsidRDefault="00192F58" w:rsidP="00AF7FFC">
            <w:pPr>
              <w:spacing w:before="100" w:beforeAutospacing="1" w:after="100" w:afterAutospacing="1"/>
              <w:rPr>
                <w:rFonts w:ascii="Times New Roman" w:eastAsia="Times New Roman" w:hAnsi="Times New Roman" w:cs="Times New Roman"/>
                <w:sz w:val="20"/>
                <w:szCs w:val="20"/>
              </w:rPr>
            </w:pPr>
          </w:p>
        </w:tc>
      </w:tr>
      <w:tr w:rsidR="00192F58" w:rsidTr="00192F58">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HL7 standards for MU Stage 2 in depth (pointing out resources) </w:t>
            </w:r>
          </w:p>
        </w:tc>
        <w:tc>
          <w:tcPr>
            <w:tcW w:w="3192" w:type="dxa"/>
          </w:tcPr>
          <w:p w:rsidR="00192F58" w:rsidRPr="00AF7FFC" w:rsidRDefault="00FE186F" w:rsidP="00AF7FFC">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Presentations of various HL7 implementations in/by national programs.</w:t>
            </w:r>
          </w:p>
        </w:tc>
        <w:tc>
          <w:tcPr>
            <w:tcW w:w="3192" w:type="dxa"/>
          </w:tcPr>
          <w:p w:rsidR="00192F58" w:rsidRPr="00AF7FFC" w:rsidRDefault="00192F58" w:rsidP="00AF7FFC">
            <w:pPr>
              <w:spacing w:before="100" w:beforeAutospacing="1" w:after="100" w:afterAutospacing="1"/>
              <w:rPr>
                <w:rFonts w:ascii="Times New Roman" w:eastAsia="Times New Roman" w:hAnsi="Times New Roman" w:cs="Times New Roman"/>
                <w:sz w:val="20"/>
                <w:szCs w:val="20"/>
              </w:rPr>
            </w:pPr>
          </w:p>
        </w:tc>
      </w:tr>
      <w:tr w:rsidR="00192F58" w:rsidTr="00192F58">
        <w:tc>
          <w:tcPr>
            <w:tcW w:w="3192" w:type="dxa"/>
          </w:tcPr>
          <w:p w:rsidR="00192F58" w:rsidRPr="004B70BF"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I would like more topics related to the MU 2 requirements. Especially as we develop new data models. But also for QRDA if you haven’t implemented CDA. This webinar (QRDA) assumed you had and knew how to work with the templates. </w:t>
            </w:r>
          </w:p>
        </w:tc>
        <w:tc>
          <w:tcPr>
            <w:tcW w:w="3192" w:type="dxa"/>
          </w:tcPr>
          <w:p w:rsidR="00192F58" w:rsidRPr="00AF7FFC" w:rsidRDefault="00AF7FFC" w:rsidP="00192F58">
            <w:pPr>
              <w:pStyle w:val="NoSpacing"/>
              <w:rPr>
                <w:rFonts w:ascii="Times New Roman" w:hAnsi="Times New Roman" w:cs="Times New Roman"/>
                <w:sz w:val="20"/>
                <w:szCs w:val="20"/>
              </w:rPr>
            </w:pPr>
            <w:r w:rsidRPr="00AF7FFC">
              <w:rPr>
                <w:rFonts w:ascii="Times New Roman" w:hAnsi="Times New Roman" w:cs="Times New Roman"/>
                <w:sz w:val="20"/>
                <w:szCs w:val="20"/>
              </w:rPr>
              <w:t>Thought leaders</w:t>
            </w:r>
            <w:r>
              <w:rPr>
                <w:rFonts w:ascii="Times New Roman" w:hAnsi="Times New Roman" w:cs="Times New Roman"/>
                <w:sz w:val="20"/>
                <w:szCs w:val="20"/>
              </w:rPr>
              <w:t xml:space="preserve"> at higher learning institutions discussing university activity around informatics/bioinformatics</w:t>
            </w:r>
          </w:p>
        </w:tc>
        <w:tc>
          <w:tcPr>
            <w:tcW w:w="3192" w:type="dxa"/>
          </w:tcPr>
          <w:p w:rsidR="00192F58" w:rsidRDefault="00192F58" w:rsidP="00FE186F">
            <w:pPr>
              <w:spacing w:before="100" w:beforeAutospacing="1" w:after="100" w:afterAutospacing="1"/>
            </w:pPr>
          </w:p>
        </w:tc>
      </w:tr>
      <w:tr w:rsidR="004B70BF" w:rsidTr="00192F58">
        <w:tc>
          <w:tcPr>
            <w:tcW w:w="3192" w:type="dxa"/>
          </w:tcPr>
          <w:p w:rsidR="004B70BF" w:rsidRPr="005C76C2" w:rsidRDefault="004B70B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How is C-CDA and CDA used within an electronic medical </w:t>
            </w:r>
            <w:proofErr w:type="gramStart"/>
            <w:r w:rsidRPr="005C76C2">
              <w:rPr>
                <w:rFonts w:ascii="Times New Roman" w:eastAsia="Times New Roman" w:hAnsi="Times New Roman" w:cs="Times New Roman"/>
                <w:sz w:val="20"/>
                <w:szCs w:val="20"/>
              </w:rPr>
              <w:t>record.</w:t>
            </w:r>
            <w:proofErr w:type="gramEnd"/>
            <w:r w:rsidRPr="005C76C2">
              <w:rPr>
                <w:rFonts w:ascii="Times New Roman" w:eastAsia="Times New Roman" w:hAnsi="Times New Roman" w:cs="Times New Roman"/>
                <w:sz w:val="20"/>
                <w:szCs w:val="20"/>
              </w:rPr>
              <w:t xml:space="preserve"> Especially in terms of MU. </w:t>
            </w:r>
          </w:p>
        </w:tc>
        <w:tc>
          <w:tcPr>
            <w:tcW w:w="3192" w:type="dxa"/>
          </w:tcPr>
          <w:p w:rsidR="004B70BF" w:rsidRDefault="006C2941" w:rsidP="00192F58">
            <w:pPr>
              <w:pStyle w:val="NoSpacing"/>
            </w:pPr>
            <w:r w:rsidRPr="00E45304">
              <w:rPr>
                <w:rFonts w:ascii="Times New Roman" w:hAnsi="Times New Roman" w:cs="Times New Roman"/>
                <w:sz w:val="20"/>
                <w:szCs w:val="20"/>
              </w:rPr>
              <w:t>Topics addressed during Policy Conference, 12/13, D.C.</w:t>
            </w:r>
          </w:p>
        </w:tc>
        <w:tc>
          <w:tcPr>
            <w:tcW w:w="3192" w:type="dxa"/>
          </w:tcPr>
          <w:p w:rsidR="004B70BF" w:rsidRPr="00AF7FFC" w:rsidRDefault="004B70BF" w:rsidP="00AF7FFC">
            <w:pPr>
              <w:spacing w:before="100" w:beforeAutospacing="1" w:after="100" w:afterAutospacing="1"/>
              <w:rPr>
                <w:rFonts w:ascii="Times New Roman" w:eastAsia="Times New Roman" w:hAnsi="Times New Roman" w:cs="Times New Roman"/>
                <w:sz w:val="20"/>
                <w:szCs w:val="20"/>
              </w:rPr>
            </w:pPr>
          </w:p>
        </w:tc>
      </w:tr>
      <w:tr w:rsidR="004B70BF" w:rsidTr="00192F58">
        <w:tc>
          <w:tcPr>
            <w:tcW w:w="3192" w:type="dxa"/>
          </w:tcPr>
          <w:p w:rsidR="004B70BF" w:rsidRPr="006C2941" w:rsidRDefault="00AF7FFC" w:rsidP="004B70BF">
            <w:pPr>
              <w:spacing w:before="100" w:beforeAutospacing="1" w:after="100" w:afterAutospacing="1"/>
              <w:rPr>
                <w:rFonts w:ascii="Times New Roman" w:eastAsia="Times New Roman" w:hAnsi="Times New Roman" w:cs="Times New Roman"/>
                <w:sz w:val="20"/>
                <w:szCs w:val="20"/>
              </w:rPr>
            </w:pPr>
            <w:r w:rsidRPr="006C2941">
              <w:rPr>
                <w:rFonts w:ascii="Times New Roman" w:eastAsia="Times New Roman" w:hAnsi="Times New Roman" w:cs="Times New Roman"/>
                <w:sz w:val="20"/>
                <w:szCs w:val="20"/>
              </w:rPr>
              <w:t>MU2 &amp; Immunization Messaging</w:t>
            </w:r>
          </w:p>
        </w:tc>
        <w:tc>
          <w:tcPr>
            <w:tcW w:w="3192" w:type="dxa"/>
          </w:tcPr>
          <w:p w:rsidR="004B70BF" w:rsidRPr="006C2941" w:rsidRDefault="006C2941" w:rsidP="00192F58">
            <w:pPr>
              <w:pStyle w:val="NoSpacing"/>
              <w:rPr>
                <w:rFonts w:ascii="Times New Roman" w:hAnsi="Times New Roman" w:cs="Times New Roman"/>
                <w:sz w:val="20"/>
                <w:szCs w:val="20"/>
              </w:rPr>
            </w:pPr>
            <w:r w:rsidRPr="006C2941">
              <w:rPr>
                <w:rFonts w:ascii="Times New Roman" w:hAnsi="Times New Roman" w:cs="Times New Roman"/>
                <w:sz w:val="20"/>
                <w:szCs w:val="20"/>
              </w:rPr>
              <w:t>Around the World Report by region: Europe, Asia, Latin America</w:t>
            </w:r>
            <w:r>
              <w:rPr>
                <w:rFonts w:ascii="Times New Roman" w:hAnsi="Times New Roman" w:cs="Times New Roman"/>
                <w:sz w:val="20"/>
                <w:szCs w:val="20"/>
              </w:rPr>
              <w:t xml:space="preserve"> (Intl Council source of presenters)</w:t>
            </w:r>
          </w:p>
        </w:tc>
        <w:tc>
          <w:tcPr>
            <w:tcW w:w="3192" w:type="dxa"/>
          </w:tcPr>
          <w:p w:rsidR="004B70BF" w:rsidRPr="006C2941" w:rsidRDefault="004B70BF" w:rsidP="00192F58">
            <w:pPr>
              <w:pStyle w:val="NoSpacing"/>
              <w:rPr>
                <w:rFonts w:ascii="Times New Roman" w:hAnsi="Times New Roman" w:cs="Times New Roman"/>
                <w:sz w:val="20"/>
                <w:szCs w:val="20"/>
              </w:rPr>
            </w:pPr>
          </w:p>
        </w:tc>
      </w:tr>
      <w:tr w:rsidR="00AF7FFC" w:rsidTr="00192F58">
        <w:tc>
          <w:tcPr>
            <w:tcW w:w="3192" w:type="dxa"/>
          </w:tcPr>
          <w:p w:rsidR="00AF7FFC" w:rsidRPr="006C2941" w:rsidRDefault="00FE186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More on FHIR, more in-depth sessions on MU/LOI, LRI, ELR, and other IGs as they pertain to MU, </w:t>
            </w:r>
            <w:r w:rsidRPr="005C76C2">
              <w:rPr>
                <w:rFonts w:ascii="Times New Roman" w:eastAsia="Times New Roman" w:hAnsi="Times New Roman" w:cs="Times New Roman"/>
                <w:sz w:val="20"/>
                <w:szCs w:val="20"/>
              </w:rPr>
              <w:lastRenderedPageBreak/>
              <w:t>future of v2.x</w:t>
            </w:r>
          </w:p>
        </w:tc>
        <w:tc>
          <w:tcPr>
            <w:tcW w:w="3192" w:type="dxa"/>
          </w:tcPr>
          <w:p w:rsidR="00AF7FFC" w:rsidRPr="006C2941" w:rsidRDefault="006C2941" w:rsidP="00192F58">
            <w:pPr>
              <w:pStyle w:val="NoSpacing"/>
              <w:rPr>
                <w:rFonts w:ascii="Times New Roman" w:hAnsi="Times New Roman" w:cs="Times New Roman"/>
                <w:sz w:val="20"/>
                <w:szCs w:val="20"/>
              </w:rPr>
            </w:pPr>
            <w:r>
              <w:rPr>
                <w:rFonts w:ascii="Times New Roman" w:hAnsi="Times New Roman" w:cs="Times New Roman"/>
                <w:sz w:val="20"/>
                <w:szCs w:val="20"/>
              </w:rPr>
              <w:lastRenderedPageBreak/>
              <w:t>Conformance Testing after HIMSS</w:t>
            </w:r>
          </w:p>
        </w:tc>
        <w:tc>
          <w:tcPr>
            <w:tcW w:w="3192" w:type="dxa"/>
          </w:tcPr>
          <w:p w:rsidR="00AF7FFC" w:rsidRPr="006C2941" w:rsidRDefault="00AF7FFC" w:rsidP="00192F58">
            <w:pPr>
              <w:pStyle w:val="NoSpacing"/>
              <w:rPr>
                <w:rFonts w:ascii="Times New Roman" w:hAnsi="Times New Roman" w:cs="Times New Roman"/>
              </w:rPr>
            </w:pPr>
          </w:p>
        </w:tc>
      </w:tr>
      <w:tr w:rsidR="006C2941" w:rsidTr="00192F58">
        <w:tc>
          <w:tcPr>
            <w:tcW w:w="3192" w:type="dxa"/>
          </w:tcPr>
          <w:p w:rsidR="006C2941" w:rsidRPr="006C2941" w:rsidRDefault="00FE186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lastRenderedPageBreak/>
              <w:t>CDA/C-CDA comparison to FHIR in depth.</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Member </w:t>
            </w:r>
            <w:proofErr w:type="spellStart"/>
            <w:r>
              <w:rPr>
                <w:rFonts w:ascii="Times New Roman" w:eastAsia="Times New Roman" w:hAnsi="Times New Roman" w:cs="Times New Roman"/>
                <w:sz w:val="20"/>
                <w:szCs w:val="20"/>
              </w:rPr>
              <w:t>Adv</w:t>
            </w:r>
            <w:proofErr w:type="spellEnd"/>
            <w:r>
              <w:rPr>
                <w:rFonts w:ascii="Times New Roman" w:eastAsia="Times New Roman" w:hAnsi="Times New Roman" w:cs="Times New Roman"/>
                <w:sz w:val="20"/>
                <w:szCs w:val="20"/>
              </w:rPr>
              <w:t>?)</w:t>
            </w:r>
          </w:p>
        </w:tc>
        <w:tc>
          <w:tcPr>
            <w:tcW w:w="3192" w:type="dxa"/>
          </w:tcPr>
          <w:p w:rsidR="006C2941" w:rsidRPr="006C2941" w:rsidRDefault="006C2941" w:rsidP="00192F58">
            <w:pPr>
              <w:pStyle w:val="NoSpacing"/>
              <w:rPr>
                <w:rFonts w:ascii="Times New Roman" w:hAnsi="Times New Roman" w:cs="Times New Roman"/>
                <w:sz w:val="20"/>
                <w:szCs w:val="20"/>
              </w:rPr>
            </w:pPr>
            <w:r>
              <w:rPr>
                <w:rFonts w:ascii="Times New Roman" w:hAnsi="Times New Roman" w:cs="Times New Roman"/>
                <w:sz w:val="20"/>
                <w:szCs w:val="20"/>
              </w:rPr>
              <w:t>ONC Update for 2014 include Intl dimension.</w:t>
            </w:r>
          </w:p>
        </w:tc>
        <w:tc>
          <w:tcPr>
            <w:tcW w:w="3192" w:type="dxa"/>
          </w:tcPr>
          <w:p w:rsidR="006C2941" w:rsidRPr="006C2941" w:rsidRDefault="006C2941" w:rsidP="00192F58">
            <w:pPr>
              <w:pStyle w:val="NoSpacing"/>
              <w:rPr>
                <w:rFonts w:ascii="Times New Roman" w:hAnsi="Times New Roman" w:cs="Times New Roman"/>
              </w:rPr>
            </w:pPr>
          </w:p>
        </w:tc>
      </w:tr>
      <w:tr w:rsidR="006C2941" w:rsidTr="00192F58">
        <w:tc>
          <w:tcPr>
            <w:tcW w:w="3192" w:type="dxa"/>
          </w:tcPr>
          <w:p w:rsidR="006C2941" w:rsidRPr="006C2941" w:rsidRDefault="00FE186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More in depth info on FHIR implementations (which choices were made on the infrastructure, how does FHIR work with the infrastructure)?</w:t>
            </w:r>
          </w:p>
        </w:tc>
        <w:tc>
          <w:tcPr>
            <w:tcW w:w="3192" w:type="dxa"/>
          </w:tcPr>
          <w:p w:rsidR="006C2941" w:rsidRPr="006C2941" w:rsidRDefault="006C2941" w:rsidP="006C2941">
            <w:pPr>
              <w:rPr>
                <w:rFonts w:ascii="Times New Roman" w:hAnsi="Times New Roman" w:cs="Times New Roman"/>
                <w:sz w:val="20"/>
                <w:szCs w:val="20"/>
              </w:rPr>
            </w:pPr>
            <w:r w:rsidRPr="006C2941">
              <w:rPr>
                <w:rFonts w:ascii="Times New Roman" w:hAnsi="Times New Roman" w:cs="Times New Roman"/>
                <w:sz w:val="20"/>
                <w:szCs w:val="20"/>
              </w:rPr>
              <w:t>How ACOs using HL7?</w:t>
            </w:r>
          </w:p>
          <w:p w:rsidR="006C2941" w:rsidRPr="006C2941" w:rsidRDefault="006C2941" w:rsidP="006C2941">
            <w:pPr>
              <w:rPr>
                <w:rFonts w:ascii="Times New Roman" w:hAnsi="Times New Roman" w:cs="Times New Roman"/>
                <w:sz w:val="20"/>
                <w:szCs w:val="20"/>
              </w:rPr>
            </w:pPr>
            <w:r w:rsidRPr="006C2941">
              <w:rPr>
                <w:rFonts w:ascii="Times New Roman" w:hAnsi="Times New Roman" w:cs="Times New Roman"/>
                <w:sz w:val="20"/>
                <w:szCs w:val="20"/>
              </w:rPr>
              <w:t>Digital signatures, ESMD, massive impact of claims-related activity</w:t>
            </w:r>
          </w:p>
          <w:p w:rsidR="006C2941" w:rsidRDefault="006C2941" w:rsidP="006C2941">
            <w:pPr>
              <w:rPr>
                <w:rFonts w:ascii="Times New Roman" w:hAnsi="Times New Roman" w:cs="Times New Roman"/>
                <w:sz w:val="20"/>
                <w:szCs w:val="20"/>
              </w:rPr>
            </w:pPr>
            <w:r w:rsidRPr="006C2941">
              <w:rPr>
                <w:rFonts w:ascii="Times New Roman" w:hAnsi="Times New Roman" w:cs="Times New Roman"/>
                <w:sz w:val="20"/>
                <w:szCs w:val="20"/>
              </w:rPr>
              <w:t>Also Tacoma</w:t>
            </w:r>
          </w:p>
        </w:tc>
        <w:tc>
          <w:tcPr>
            <w:tcW w:w="3192" w:type="dxa"/>
          </w:tcPr>
          <w:p w:rsidR="006C2941" w:rsidRPr="006C2941" w:rsidRDefault="006C2941" w:rsidP="00192F58">
            <w:pPr>
              <w:pStyle w:val="NoSpacing"/>
              <w:rPr>
                <w:rFonts w:ascii="Times New Roman" w:hAnsi="Times New Roman" w:cs="Times New Roman"/>
              </w:rPr>
            </w:pPr>
          </w:p>
        </w:tc>
      </w:tr>
      <w:tr w:rsidR="006C2941" w:rsidTr="00192F58">
        <w:tc>
          <w:tcPr>
            <w:tcW w:w="3192" w:type="dxa"/>
          </w:tcPr>
          <w:p w:rsidR="006C2941" w:rsidRPr="006C2941" w:rsidRDefault="00FE186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Advanced summaries of developing standards and implementation guides.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especially</w:t>
            </w:r>
            <w:proofErr w:type="gramEnd"/>
            <w:r>
              <w:rPr>
                <w:rFonts w:ascii="Times New Roman" w:eastAsia="Times New Roman" w:hAnsi="Times New Roman" w:cs="Times New Roman"/>
                <w:sz w:val="20"/>
                <w:szCs w:val="20"/>
              </w:rPr>
              <w:t xml:space="preserve"> if we have some tools.)</w:t>
            </w:r>
          </w:p>
        </w:tc>
        <w:tc>
          <w:tcPr>
            <w:tcW w:w="3192" w:type="dxa"/>
          </w:tcPr>
          <w:p w:rsidR="006C2941" w:rsidRPr="006C2941" w:rsidRDefault="006C2941" w:rsidP="006C2941">
            <w:pPr>
              <w:rPr>
                <w:rFonts w:ascii="Times New Roman" w:hAnsi="Times New Roman" w:cs="Times New Roman"/>
                <w:sz w:val="20"/>
                <w:szCs w:val="20"/>
              </w:rPr>
            </w:pPr>
            <w:r>
              <w:rPr>
                <w:rFonts w:ascii="Times New Roman" w:hAnsi="Times New Roman" w:cs="Times New Roman"/>
                <w:sz w:val="20"/>
                <w:szCs w:val="20"/>
              </w:rPr>
              <w:t>September Plenary Session</w:t>
            </w:r>
          </w:p>
        </w:tc>
        <w:tc>
          <w:tcPr>
            <w:tcW w:w="3192" w:type="dxa"/>
          </w:tcPr>
          <w:p w:rsidR="006C2941" w:rsidRPr="006C2941" w:rsidRDefault="006C2941" w:rsidP="00192F58">
            <w:pPr>
              <w:pStyle w:val="NoSpacing"/>
              <w:rPr>
                <w:rFonts w:ascii="Times New Roman" w:hAnsi="Times New Roman" w:cs="Times New Roman"/>
              </w:rPr>
            </w:pPr>
          </w:p>
        </w:tc>
      </w:tr>
      <w:tr w:rsidR="00FE186F" w:rsidTr="00192F58">
        <w:tc>
          <w:tcPr>
            <w:tcW w:w="3192" w:type="dxa"/>
          </w:tcPr>
          <w:p w:rsidR="00FE186F" w:rsidRPr="005C76C2" w:rsidRDefault="00FE186F" w:rsidP="004B70BF">
            <w:pPr>
              <w:spacing w:before="100" w:beforeAutospacing="1" w:after="100" w:afterAutospacing="1"/>
              <w:rPr>
                <w:rFonts w:ascii="Times New Roman" w:eastAsia="Times New Roman" w:hAnsi="Times New Roman" w:cs="Times New Roman"/>
                <w:sz w:val="20"/>
                <w:szCs w:val="20"/>
              </w:rPr>
            </w:pPr>
            <w:r w:rsidRPr="005C76C2">
              <w:rPr>
                <w:rFonts w:ascii="Times New Roman" w:eastAsia="Times New Roman" w:hAnsi="Times New Roman" w:cs="Times New Roman"/>
                <w:sz w:val="20"/>
                <w:szCs w:val="20"/>
              </w:rPr>
              <w:t xml:space="preserve">Regulatory Product Submissions standard </w:t>
            </w:r>
          </w:p>
        </w:tc>
        <w:tc>
          <w:tcPr>
            <w:tcW w:w="3192" w:type="dxa"/>
          </w:tcPr>
          <w:p w:rsidR="00FE186F" w:rsidRDefault="00FE186F" w:rsidP="006C2941">
            <w:pPr>
              <w:rPr>
                <w:rFonts w:ascii="Times New Roman" w:hAnsi="Times New Roman" w:cs="Times New Roman"/>
                <w:sz w:val="20"/>
                <w:szCs w:val="20"/>
              </w:rPr>
            </w:pPr>
            <w:r w:rsidRPr="005C76C2">
              <w:rPr>
                <w:rFonts w:ascii="Times New Roman" w:eastAsia="Times New Roman" w:hAnsi="Times New Roman" w:cs="Times New Roman"/>
                <w:sz w:val="20"/>
                <w:szCs w:val="20"/>
              </w:rPr>
              <w:t>Would like to hear how HL7 will address policy initiatives and the role volunteers can play to help make it happen. Meaningful Use Phas</w:t>
            </w:r>
            <w:r>
              <w:rPr>
                <w:rFonts w:ascii="Times New Roman" w:eastAsia="Times New Roman" w:hAnsi="Times New Roman" w:cs="Times New Roman"/>
                <w:sz w:val="20"/>
                <w:szCs w:val="20"/>
              </w:rPr>
              <w:t>e</w:t>
            </w:r>
            <w:r w:rsidRPr="005C76C2">
              <w:rPr>
                <w:rFonts w:ascii="Times New Roman" w:eastAsia="Times New Roman" w:hAnsi="Times New Roman" w:cs="Times New Roman"/>
                <w:sz w:val="20"/>
                <w:szCs w:val="20"/>
              </w:rPr>
              <w:t xml:space="preserve"> 3 would be an example or health exchanges</w:t>
            </w:r>
          </w:p>
        </w:tc>
        <w:tc>
          <w:tcPr>
            <w:tcW w:w="3192" w:type="dxa"/>
          </w:tcPr>
          <w:p w:rsidR="00FE186F" w:rsidRPr="006C2941" w:rsidRDefault="00FE186F" w:rsidP="00192F58">
            <w:pPr>
              <w:pStyle w:val="NoSpacing"/>
              <w:rPr>
                <w:rFonts w:ascii="Times New Roman" w:hAnsi="Times New Roman" w:cs="Times New Roman"/>
              </w:rPr>
            </w:pPr>
          </w:p>
        </w:tc>
      </w:tr>
    </w:tbl>
    <w:p w:rsidR="00192F58" w:rsidRDefault="003B2DFD" w:rsidP="00192F58">
      <w:pPr>
        <w:pStyle w:val="NoSpacing"/>
      </w:pPr>
      <w:r>
        <w:t>Revised 1/17/14</w:t>
      </w:r>
    </w:p>
    <w:sectPr w:rsidR="00192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EB" w:rsidRDefault="007819EB" w:rsidP="00A23BD6">
      <w:pPr>
        <w:spacing w:after="0" w:line="240" w:lineRule="auto"/>
      </w:pPr>
      <w:r>
        <w:separator/>
      </w:r>
    </w:p>
  </w:endnote>
  <w:endnote w:type="continuationSeparator" w:id="0">
    <w:p w:rsidR="007819EB" w:rsidRDefault="007819EB" w:rsidP="00A2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D6" w:rsidRDefault="00A23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D6" w:rsidRDefault="00A23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D6" w:rsidRDefault="00A2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EB" w:rsidRDefault="007819EB" w:rsidP="00A23BD6">
      <w:pPr>
        <w:spacing w:after="0" w:line="240" w:lineRule="auto"/>
      </w:pPr>
      <w:r>
        <w:separator/>
      </w:r>
    </w:p>
  </w:footnote>
  <w:footnote w:type="continuationSeparator" w:id="0">
    <w:p w:rsidR="007819EB" w:rsidRDefault="007819EB" w:rsidP="00A23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D6" w:rsidRDefault="00A23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6741"/>
      <w:docPartObj>
        <w:docPartGallery w:val="Watermarks"/>
        <w:docPartUnique/>
      </w:docPartObj>
    </w:sdtPr>
    <w:sdtEndPr/>
    <w:sdtContent>
      <w:p w:rsidR="00A23BD6" w:rsidRDefault="007819E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D6" w:rsidRDefault="00A23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4220B"/>
    <w:multiLevelType w:val="multilevel"/>
    <w:tmpl w:val="86FA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58"/>
    <w:rsid w:val="00002B13"/>
    <w:rsid w:val="000049D6"/>
    <w:rsid w:val="000335D4"/>
    <w:rsid w:val="00052A83"/>
    <w:rsid w:val="000709A3"/>
    <w:rsid w:val="00092BE1"/>
    <w:rsid w:val="000A2A37"/>
    <w:rsid w:val="000E34FB"/>
    <w:rsid w:val="000E6C8A"/>
    <w:rsid w:val="001173C6"/>
    <w:rsid w:val="00135BC4"/>
    <w:rsid w:val="00150995"/>
    <w:rsid w:val="001740F4"/>
    <w:rsid w:val="00192F58"/>
    <w:rsid w:val="00194ED9"/>
    <w:rsid w:val="001C63AE"/>
    <w:rsid w:val="001D61D8"/>
    <w:rsid w:val="001E32EA"/>
    <w:rsid w:val="0020171C"/>
    <w:rsid w:val="00203C06"/>
    <w:rsid w:val="00233F24"/>
    <w:rsid w:val="002849AF"/>
    <w:rsid w:val="0029176E"/>
    <w:rsid w:val="002930FB"/>
    <w:rsid w:val="00294BDF"/>
    <w:rsid w:val="002B0E6B"/>
    <w:rsid w:val="002E6962"/>
    <w:rsid w:val="00313E75"/>
    <w:rsid w:val="00354ECA"/>
    <w:rsid w:val="00356D0F"/>
    <w:rsid w:val="00380965"/>
    <w:rsid w:val="00383AA6"/>
    <w:rsid w:val="003844A3"/>
    <w:rsid w:val="00386515"/>
    <w:rsid w:val="003B2DFD"/>
    <w:rsid w:val="003C3067"/>
    <w:rsid w:val="003D452D"/>
    <w:rsid w:val="003F1B78"/>
    <w:rsid w:val="00427A66"/>
    <w:rsid w:val="00455545"/>
    <w:rsid w:val="00490F39"/>
    <w:rsid w:val="00492C3D"/>
    <w:rsid w:val="004A7BD7"/>
    <w:rsid w:val="004B70BF"/>
    <w:rsid w:val="004F1C8F"/>
    <w:rsid w:val="005575CE"/>
    <w:rsid w:val="00581327"/>
    <w:rsid w:val="005B04D9"/>
    <w:rsid w:val="005E5888"/>
    <w:rsid w:val="005F3D9A"/>
    <w:rsid w:val="00623057"/>
    <w:rsid w:val="00691A85"/>
    <w:rsid w:val="006C2941"/>
    <w:rsid w:val="006F0A97"/>
    <w:rsid w:val="00711E46"/>
    <w:rsid w:val="007245F1"/>
    <w:rsid w:val="00780FF7"/>
    <w:rsid w:val="007819EB"/>
    <w:rsid w:val="007A360D"/>
    <w:rsid w:val="007D5F19"/>
    <w:rsid w:val="00807F53"/>
    <w:rsid w:val="00832318"/>
    <w:rsid w:val="00844919"/>
    <w:rsid w:val="008607EA"/>
    <w:rsid w:val="008843E0"/>
    <w:rsid w:val="008A64CB"/>
    <w:rsid w:val="008E32F2"/>
    <w:rsid w:val="008E688A"/>
    <w:rsid w:val="009439E5"/>
    <w:rsid w:val="009525AF"/>
    <w:rsid w:val="009832B6"/>
    <w:rsid w:val="00992F13"/>
    <w:rsid w:val="00997F3E"/>
    <w:rsid w:val="009A67A6"/>
    <w:rsid w:val="00A05B87"/>
    <w:rsid w:val="00A07674"/>
    <w:rsid w:val="00A14F00"/>
    <w:rsid w:val="00A203F7"/>
    <w:rsid w:val="00A23BD6"/>
    <w:rsid w:val="00A24950"/>
    <w:rsid w:val="00A36A93"/>
    <w:rsid w:val="00A425F0"/>
    <w:rsid w:val="00A5346D"/>
    <w:rsid w:val="00A90281"/>
    <w:rsid w:val="00AA276D"/>
    <w:rsid w:val="00AB1771"/>
    <w:rsid w:val="00AC342A"/>
    <w:rsid w:val="00AC6EB2"/>
    <w:rsid w:val="00AD718E"/>
    <w:rsid w:val="00AE229F"/>
    <w:rsid w:val="00AF0111"/>
    <w:rsid w:val="00AF7FFC"/>
    <w:rsid w:val="00B13079"/>
    <w:rsid w:val="00B23A16"/>
    <w:rsid w:val="00B8063C"/>
    <w:rsid w:val="00BE4E99"/>
    <w:rsid w:val="00C06C4C"/>
    <w:rsid w:val="00C43944"/>
    <w:rsid w:val="00C77081"/>
    <w:rsid w:val="00CA3E11"/>
    <w:rsid w:val="00CB5DFD"/>
    <w:rsid w:val="00CE59BE"/>
    <w:rsid w:val="00CE6024"/>
    <w:rsid w:val="00D26A5B"/>
    <w:rsid w:val="00D353A6"/>
    <w:rsid w:val="00D41711"/>
    <w:rsid w:val="00D5417E"/>
    <w:rsid w:val="00D74091"/>
    <w:rsid w:val="00DB49CC"/>
    <w:rsid w:val="00DC1CB4"/>
    <w:rsid w:val="00DF31EF"/>
    <w:rsid w:val="00E3719C"/>
    <w:rsid w:val="00E45304"/>
    <w:rsid w:val="00E61DC7"/>
    <w:rsid w:val="00E724C2"/>
    <w:rsid w:val="00E870C7"/>
    <w:rsid w:val="00E910D1"/>
    <w:rsid w:val="00EB20BB"/>
    <w:rsid w:val="00EC6832"/>
    <w:rsid w:val="00EE6F27"/>
    <w:rsid w:val="00F0376B"/>
    <w:rsid w:val="00F232D5"/>
    <w:rsid w:val="00F3282F"/>
    <w:rsid w:val="00F36931"/>
    <w:rsid w:val="00F439DD"/>
    <w:rsid w:val="00F63F96"/>
    <w:rsid w:val="00FA4AFB"/>
    <w:rsid w:val="00FA6D32"/>
    <w:rsid w:val="00FB09C0"/>
    <w:rsid w:val="00FC08D9"/>
    <w:rsid w:val="00FC7E04"/>
    <w:rsid w:val="00FE186F"/>
    <w:rsid w:val="00FE3509"/>
    <w:rsid w:val="00FE3A08"/>
    <w:rsid w:val="00FE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23B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2F58"/>
    <w:pPr>
      <w:spacing w:after="0" w:line="240" w:lineRule="auto"/>
    </w:pPr>
  </w:style>
  <w:style w:type="character" w:customStyle="1" w:styleId="Heading2Char">
    <w:name w:val="Heading 2 Char"/>
    <w:basedOn w:val="DefaultParagraphFont"/>
    <w:link w:val="Heading2"/>
    <w:uiPriority w:val="9"/>
    <w:rsid w:val="00A23B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2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D6"/>
  </w:style>
  <w:style w:type="paragraph" w:styleId="Footer">
    <w:name w:val="footer"/>
    <w:basedOn w:val="Normal"/>
    <w:link w:val="FooterChar"/>
    <w:uiPriority w:val="99"/>
    <w:unhideWhenUsed/>
    <w:rsid w:val="00A2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23B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2F58"/>
    <w:pPr>
      <w:spacing w:after="0" w:line="240" w:lineRule="auto"/>
    </w:pPr>
  </w:style>
  <w:style w:type="character" w:customStyle="1" w:styleId="Heading2Char">
    <w:name w:val="Heading 2 Char"/>
    <w:basedOn w:val="DefaultParagraphFont"/>
    <w:link w:val="Heading2"/>
    <w:uiPriority w:val="9"/>
    <w:rsid w:val="00A23B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2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D6"/>
  </w:style>
  <w:style w:type="paragraph" w:styleId="Footer">
    <w:name w:val="footer"/>
    <w:basedOn w:val="Normal"/>
    <w:link w:val="FooterChar"/>
    <w:uiPriority w:val="99"/>
    <w:unhideWhenUsed/>
    <w:rsid w:val="00A2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Sharrie</dc:creator>
  <cp:lastModifiedBy>Sharrie</cp:lastModifiedBy>
  <cp:revision>2</cp:revision>
  <dcterms:created xsi:type="dcterms:W3CDTF">2014-01-17T18:41:00Z</dcterms:created>
  <dcterms:modified xsi:type="dcterms:W3CDTF">2014-01-17T18:41:00Z</dcterms:modified>
</cp:coreProperties>
</file>