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5D" w:rsidRDefault="00820193" w:rsidP="00820193">
      <w:pPr>
        <w:pStyle w:val="Title"/>
      </w:pPr>
      <w:r>
        <w:t>Healthcare Audit Use Cases</w:t>
      </w:r>
    </w:p>
    <w:p w:rsidR="00E76340" w:rsidRDefault="00E76340" w:rsidP="00E76340">
      <w:pPr>
        <w:pStyle w:val="Heading1"/>
      </w:pPr>
      <w:r>
        <w:t xml:space="preserve">List of </w:t>
      </w:r>
      <w:r w:rsidR="00B71862">
        <w:t xml:space="preserve">Audit </w:t>
      </w:r>
      <w:r>
        <w:t>Use Case Titles</w:t>
      </w:r>
    </w:p>
    <w:p w:rsidR="00E70BFC" w:rsidRDefault="00E70BFC" w:rsidP="00E70BFC">
      <w:pPr>
        <w:pStyle w:val="ListParagraph"/>
        <w:numPr>
          <w:ilvl w:val="0"/>
          <w:numId w:val="1"/>
        </w:numPr>
      </w:pPr>
      <w:r w:rsidRPr="00E70BFC">
        <w:t>Consolidated and Cross-Coordinated Enterprise Audit</w:t>
      </w:r>
    </w:p>
    <w:p w:rsidR="00D94222" w:rsidRDefault="00D94222" w:rsidP="00E76340">
      <w:pPr>
        <w:pStyle w:val="ListParagraph"/>
        <w:numPr>
          <w:ilvl w:val="1"/>
          <w:numId w:val="1"/>
        </w:numPr>
      </w:pPr>
      <w:r>
        <w:t>Detect Audit Event</w:t>
      </w:r>
      <w:bookmarkStart w:id="0" w:name="_Ref450204648"/>
      <w:r>
        <w:rPr>
          <w:rStyle w:val="FootnoteReference"/>
        </w:rPr>
        <w:footnoteReference w:id="1"/>
      </w:r>
      <w:bookmarkEnd w:id="0"/>
    </w:p>
    <w:p w:rsidR="00D94222" w:rsidRDefault="00D94222" w:rsidP="00E76340">
      <w:pPr>
        <w:pStyle w:val="ListParagraph"/>
        <w:numPr>
          <w:ilvl w:val="1"/>
          <w:numId w:val="1"/>
        </w:numPr>
      </w:pPr>
      <w:r>
        <w:t>Create Audit Event</w:t>
      </w:r>
      <w:r w:rsidRPr="00D94222">
        <w:rPr>
          <w:vertAlign w:val="superscript"/>
        </w:rPr>
        <w:fldChar w:fldCharType="begin"/>
      </w:r>
      <w:r w:rsidRPr="00D94222">
        <w:rPr>
          <w:vertAlign w:val="superscript"/>
        </w:rPr>
        <w:instrText xml:space="preserve"> NOTEREF _Ref450204648 \h </w:instrText>
      </w:r>
      <w:r w:rsidRPr="00D94222">
        <w:rPr>
          <w:vertAlign w:val="superscript"/>
        </w:rPr>
      </w:r>
      <w:r>
        <w:rPr>
          <w:vertAlign w:val="superscript"/>
        </w:rPr>
        <w:instrText xml:space="preserve"> \* MERGEFORMAT </w:instrText>
      </w:r>
      <w:r w:rsidRPr="00D94222">
        <w:rPr>
          <w:vertAlign w:val="superscript"/>
        </w:rPr>
        <w:fldChar w:fldCharType="separate"/>
      </w:r>
      <w:r w:rsidRPr="00D94222">
        <w:rPr>
          <w:vertAlign w:val="superscript"/>
        </w:rPr>
        <w:t>1</w:t>
      </w:r>
      <w:r w:rsidRPr="00D94222">
        <w:rPr>
          <w:vertAlign w:val="superscript"/>
        </w:rPr>
        <w:fldChar w:fldCharType="end"/>
      </w:r>
    </w:p>
    <w:p w:rsidR="00E76340" w:rsidRDefault="00E76340" w:rsidP="00E76340">
      <w:pPr>
        <w:pStyle w:val="ListParagraph"/>
        <w:numPr>
          <w:ilvl w:val="1"/>
          <w:numId w:val="1"/>
        </w:numPr>
      </w:pPr>
      <w:r>
        <w:t>Submit Audit Record</w:t>
      </w:r>
      <w:r w:rsidR="005360A7">
        <w:t>s</w:t>
      </w:r>
      <w:bookmarkStart w:id="1" w:name="_Ref450204807"/>
      <w:r w:rsidR="00D94222">
        <w:rPr>
          <w:rStyle w:val="FootnoteReference"/>
        </w:rPr>
        <w:footnoteReference w:id="2"/>
      </w:r>
      <w:bookmarkEnd w:id="1"/>
    </w:p>
    <w:p w:rsidR="005360A7" w:rsidRPr="00E70BFC" w:rsidRDefault="005360A7" w:rsidP="00E76340">
      <w:pPr>
        <w:pStyle w:val="ListParagraph"/>
        <w:numPr>
          <w:ilvl w:val="1"/>
          <w:numId w:val="1"/>
        </w:numPr>
      </w:pPr>
      <w:r>
        <w:t>Retrieve Audit Records</w:t>
      </w:r>
      <w:r w:rsidR="00D94222" w:rsidRPr="00D94222">
        <w:rPr>
          <w:vertAlign w:val="superscript"/>
        </w:rPr>
        <w:fldChar w:fldCharType="begin"/>
      </w:r>
      <w:r w:rsidR="00D94222" w:rsidRPr="00D94222">
        <w:rPr>
          <w:vertAlign w:val="superscript"/>
        </w:rPr>
        <w:instrText xml:space="preserve"> NOTEREF _Ref450204807 \h </w:instrText>
      </w:r>
      <w:r w:rsidR="00D94222" w:rsidRPr="00D94222">
        <w:rPr>
          <w:vertAlign w:val="superscript"/>
        </w:rPr>
      </w:r>
      <w:r w:rsidR="00D94222">
        <w:rPr>
          <w:vertAlign w:val="superscript"/>
        </w:rPr>
        <w:instrText xml:space="preserve"> \* MERGEFORMAT </w:instrText>
      </w:r>
      <w:r w:rsidR="00D94222" w:rsidRPr="00D94222">
        <w:rPr>
          <w:vertAlign w:val="superscript"/>
        </w:rPr>
        <w:fldChar w:fldCharType="separate"/>
      </w:r>
      <w:r w:rsidR="00D94222" w:rsidRPr="00D94222">
        <w:rPr>
          <w:vertAlign w:val="superscript"/>
        </w:rPr>
        <w:t>2</w:t>
      </w:r>
      <w:r w:rsidR="00D94222" w:rsidRPr="00D94222">
        <w:rPr>
          <w:vertAlign w:val="superscript"/>
        </w:rPr>
        <w:fldChar w:fldCharType="end"/>
      </w:r>
    </w:p>
    <w:p w:rsidR="00E70BFC" w:rsidRDefault="00E70BFC" w:rsidP="00E70BFC">
      <w:pPr>
        <w:pStyle w:val="ListParagraph"/>
        <w:numPr>
          <w:ilvl w:val="0"/>
          <w:numId w:val="1"/>
        </w:numPr>
      </w:pPr>
      <w:r w:rsidRPr="00E70BFC">
        <w:t>Audit support for disclosure reporting</w:t>
      </w:r>
    </w:p>
    <w:p w:rsidR="00446C62" w:rsidRPr="00E70BFC" w:rsidRDefault="00446C62" w:rsidP="00446C62">
      <w:pPr>
        <w:pStyle w:val="ListParagraph"/>
        <w:numPr>
          <w:ilvl w:val="1"/>
          <w:numId w:val="1"/>
        </w:numPr>
      </w:pPr>
      <w:r>
        <w:t>Retrieve Disclosure Records</w:t>
      </w:r>
      <w:r w:rsidR="00D94222" w:rsidRPr="00D94222">
        <w:rPr>
          <w:vertAlign w:val="superscript"/>
        </w:rPr>
        <w:fldChar w:fldCharType="begin"/>
      </w:r>
      <w:r w:rsidR="00D94222" w:rsidRPr="00D94222">
        <w:rPr>
          <w:vertAlign w:val="superscript"/>
        </w:rPr>
        <w:instrText xml:space="preserve"> NOTEREF _Ref450204807 \h </w:instrText>
      </w:r>
      <w:r w:rsidR="00D94222" w:rsidRPr="00D94222">
        <w:rPr>
          <w:vertAlign w:val="superscript"/>
        </w:rPr>
      </w:r>
      <w:r w:rsidR="00D94222">
        <w:rPr>
          <w:vertAlign w:val="superscript"/>
        </w:rPr>
        <w:instrText xml:space="preserve"> \* MERGEFORMAT </w:instrText>
      </w:r>
      <w:r w:rsidR="00D94222" w:rsidRPr="00D94222">
        <w:rPr>
          <w:vertAlign w:val="superscript"/>
        </w:rPr>
        <w:fldChar w:fldCharType="separate"/>
      </w:r>
      <w:r w:rsidR="00D94222" w:rsidRPr="00D94222">
        <w:rPr>
          <w:vertAlign w:val="superscript"/>
        </w:rPr>
        <w:t>2</w:t>
      </w:r>
      <w:r w:rsidR="00D94222" w:rsidRPr="00D94222">
        <w:rPr>
          <w:vertAlign w:val="superscript"/>
        </w:rPr>
        <w:fldChar w:fldCharType="end"/>
      </w:r>
    </w:p>
    <w:p w:rsidR="00E70BFC" w:rsidRDefault="00E70BFC" w:rsidP="00E70BFC">
      <w:pPr>
        <w:pStyle w:val="ListParagraph"/>
        <w:numPr>
          <w:ilvl w:val="0"/>
          <w:numId w:val="1"/>
        </w:numPr>
      </w:pPr>
      <w:r w:rsidRPr="00E70BFC">
        <w:t>Real-time Alerts and Alarms</w:t>
      </w:r>
    </w:p>
    <w:p w:rsidR="00CC27E6" w:rsidRDefault="00CC27E6" w:rsidP="00CC27E6">
      <w:pPr>
        <w:pStyle w:val="ListParagraph"/>
        <w:numPr>
          <w:ilvl w:val="1"/>
          <w:numId w:val="1"/>
        </w:numPr>
      </w:pPr>
      <w:r>
        <w:t>Prioritize Alarm</w:t>
      </w:r>
      <w:r w:rsidRPr="00CC27E6">
        <w:rPr>
          <w:vertAlign w:val="superscript"/>
        </w:rPr>
        <w:fldChar w:fldCharType="begin"/>
      </w:r>
      <w:r w:rsidRPr="00CC27E6">
        <w:rPr>
          <w:vertAlign w:val="superscript"/>
        </w:rPr>
        <w:instrText xml:space="preserve"> NOTEREF _Ref450204648 \h </w:instrText>
      </w:r>
      <w:r w:rsidRPr="00CC27E6">
        <w:rPr>
          <w:vertAlign w:val="superscript"/>
        </w:rPr>
      </w:r>
      <w:r>
        <w:rPr>
          <w:vertAlign w:val="superscript"/>
        </w:rPr>
        <w:instrText xml:space="preserve"> \* MERGEFORMAT </w:instrText>
      </w:r>
      <w:r w:rsidRPr="00CC27E6">
        <w:rPr>
          <w:vertAlign w:val="superscript"/>
        </w:rPr>
        <w:fldChar w:fldCharType="separate"/>
      </w:r>
      <w:r w:rsidRPr="00CC27E6">
        <w:rPr>
          <w:vertAlign w:val="superscript"/>
        </w:rPr>
        <w:t>1</w:t>
      </w:r>
      <w:r w:rsidRPr="00CC27E6">
        <w:rPr>
          <w:vertAlign w:val="superscript"/>
        </w:rPr>
        <w:fldChar w:fldCharType="end"/>
      </w:r>
    </w:p>
    <w:p w:rsidR="00CC27E6" w:rsidRPr="00E70BFC" w:rsidRDefault="00CC27E6" w:rsidP="00CC27E6">
      <w:pPr>
        <w:pStyle w:val="ListParagraph"/>
        <w:numPr>
          <w:ilvl w:val="1"/>
          <w:numId w:val="1"/>
        </w:numPr>
      </w:pPr>
      <w:r>
        <w:t>Initiate Alarm</w:t>
      </w:r>
      <w:r w:rsidRPr="00CC27E6">
        <w:rPr>
          <w:vertAlign w:val="superscript"/>
        </w:rPr>
        <w:fldChar w:fldCharType="begin"/>
      </w:r>
      <w:r w:rsidRPr="00CC27E6">
        <w:rPr>
          <w:vertAlign w:val="superscript"/>
        </w:rPr>
        <w:instrText xml:space="preserve"> NOTEREF _Ref450204648 \h </w:instrText>
      </w:r>
      <w:r w:rsidRPr="00CC27E6">
        <w:rPr>
          <w:vertAlign w:val="superscript"/>
        </w:rPr>
      </w:r>
      <w:r>
        <w:rPr>
          <w:vertAlign w:val="superscript"/>
        </w:rPr>
        <w:instrText xml:space="preserve"> \* MERGEFORMAT </w:instrText>
      </w:r>
      <w:r w:rsidRPr="00CC27E6">
        <w:rPr>
          <w:vertAlign w:val="superscript"/>
        </w:rPr>
        <w:fldChar w:fldCharType="separate"/>
      </w:r>
      <w:r w:rsidRPr="00CC27E6">
        <w:rPr>
          <w:vertAlign w:val="superscript"/>
        </w:rPr>
        <w:t>1</w:t>
      </w:r>
      <w:r w:rsidRPr="00CC27E6">
        <w:rPr>
          <w:vertAlign w:val="superscript"/>
        </w:rPr>
        <w:fldChar w:fldCharType="end"/>
      </w:r>
    </w:p>
    <w:p w:rsidR="00E70BFC" w:rsidRDefault="00E70BFC" w:rsidP="00E70BFC">
      <w:pPr>
        <w:pStyle w:val="ListParagraph"/>
        <w:numPr>
          <w:ilvl w:val="0"/>
          <w:numId w:val="1"/>
        </w:numPr>
      </w:pPr>
      <w:r w:rsidRPr="00E70BFC">
        <w:t xml:space="preserve">Dynamic and real-time threat </w:t>
      </w:r>
      <w:r w:rsidR="004239E7">
        <w:t xml:space="preserve">detection and </w:t>
      </w:r>
      <w:r w:rsidRPr="00E70BFC">
        <w:t>response</w:t>
      </w:r>
    </w:p>
    <w:p w:rsidR="00CC27E6" w:rsidRPr="00CC27E6" w:rsidRDefault="00CC27E6" w:rsidP="00CC27E6">
      <w:pPr>
        <w:pStyle w:val="ListParagraph"/>
        <w:numPr>
          <w:ilvl w:val="1"/>
          <w:numId w:val="1"/>
        </w:numPr>
      </w:pPr>
      <w:r>
        <w:t>Verify Event Source</w:t>
      </w:r>
      <w:r w:rsidRPr="00CC27E6">
        <w:rPr>
          <w:vertAlign w:val="superscript"/>
        </w:rPr>
        <w:fldChar w:fldCharType="begin"/>
      </w:r>
      <w:r w:rsidRPr="00CC27E6">
        <w:rPr>
          <w:vertAlign w:val="superscript"/>
        </w:rPr>
        <w:instrText xml:space="preserve"> NOTEREF _Ref450204648 \h </w:instrText>
      </w:r>
      <w:r w:rsidRPr="00CC27E6">
        <w:rPr>
          <w:vertAlign w:val="superscript"/>
        </w:rPr>
      </w:r>
      <w:r>
        <w:rPr>
          <w:vertAlign w:val="superscript"/>
        </w:rPr>
        <w:instrText xml:space="preserve"> \* MERGEFORMAT </w:instrText>
      </w:r>
      <w:r w:rsidRPr="00CC27E6">
        <w:rPr>
          <w:vertAlign w:val="superscript"/>
        </w:rPr>
        <w:fldChar w:fldCharType="separate"/>
      </w:r>
      <w:r w:rsidRPr="00CC27E6">
        <w:rPr>
          <w:vertAlign w:val="superscript"/>
        </w:rPr>
        <w:t>1</w:t>
      </w:r>
      <w:r w:rsidRPr="00CC27E6">
        <w:rPr>
          <w:vertAlign w:val="superscript"/>
        </w:rPr>
        <w:fldChar w:fldCharType="end"/>
      </w:r>
    </w:p>
    <w:p w:rsidR="00CC27E6" w:rsidRDefault="00CC27E6" w:rsidP="00CC27E6">
      <w:pPr>
        <w:pStyle w:val="ListParagraph"/>
        <w:numPr>
          <w:ilvl w:val="1"/>
          <w:numId w:val="1"/>
        </w:numPr>
      </w:pPr>
      <w:r>
        <w:t>Apply Disposition Criteria</w:t>
      </w:r>
      <w:r w:rsidRPr="00CC27E6">
        <w:rPr>
          <w:vertAlign w:val="superscript"/>
        </w:rPr>
        <w:fldChar w:fldCharType="begin"/>
      </w:r>
      <w:r w:rsidRPr="00CC27E6">
        <w:rPr>
          <w:vertAlign w:val="superscript"/>
        </w:rPr>
        <w:instrText xml:space="preserve"> NOTEREF _Ref450204648 \h </w:instrText>
      </w:r>
      <w:r w:rsidRPr="00CC27E6">
        <w:rPr>
          <w:vertAlign w:val="superscript"/>
        </w:rPr>
      </w:r>
      <w:r>
        <w:rPr>
          <w:vertAlign w:val="superscript"/>
        </w:rPr>
        <w:instrText xml:space="preserve"> \* MERGEFORMAT </w:instrText>
      </w:r>
      <w:r w:rsidRPr="00CC27E6">
        <w:rPr>
          <w:vertAlign w:val="superscript"/>
        </w:rPr>
        <w:fldChar w:fldCharType="separate"/>
      </w:r>
      <w:r w:rsidRPr="00CC27E6">
        <w:rPr>
          <w:vertAlign w:val="superscript"/>
        </w:rPr>
        <w:t>1</w:t>
      </w:r>
      <w:r w:rsidRPr="00CC27E6">
        <w:rPr>
          <w:vertAlign w:val="superscript"/>
        </w:rPr>
        <w:fldChar w:fldCharType="end"/>
      </w:r>
    </w:p>
    <w:p w:rsidR="004239E7" w:rsidRPr="005341A6" w:rsidRDefault="0049223F" w:rsidP="004239E7">
      <w:pPr>
        <w:pStyle w:val="ListParagraph"/>
        <w:numPr>
          <w:ilvl w:val="1"/>
          <w:numId w:val="1"/>
        </w:numPr>
        <w:rPr>
          <w:rFonts w:asciiTheme="minorHAnsi" w:hAnsiTheme="minorHAnsi"/>
        </w:rPr>
      </w:pPr>
      <w:r>
        <w:rPr>
          <w:rFonts w:asciiTheme="minorHAnsi" w:hAnsiTheme="minorHAnsi" w:cs="Arial"/>
        </w:rPr>
        <w:t>Using Audit Logs to Detect Possible</w:t>
      </w:r>
      <w:r w:rsidR="004239E7">
        <w:rPr>
          <w:rFonts w:asciiTheme="minorHAnsi" w:hAnsiTheme="minorHAnsi" w:cs="Arial"/>
        </w:rPr>
        <w:t xml:space="preserve"> attacks</w:t>
      </w:r>
      <w:bookmarkStart w:id="2" w:name="_Ref450203435"/>
      <w:r w:rsidR="00D2733C">
        <w:rPr>
          <w:rStyle w:val="FootnoteReference"/>
          <w:rFonts w:asciiTheme="minorHAnsi" w:hAnsiTheme="minorHAnsi"/>
        </w:rPr>
        <w:footnoteReference w:id="3"/>
      </w:r>
      <w:bookmarkEnd w:id="2"/>
    </w:p>
    <w:p w:rsidR="004239E7" w:rsidRPr="005341A6" w:rsidRDefault="004239E7" w:rsidP="004239E7">
      <w:pPr>
        <w:pStyle w:val="ListParagraph"/>
        <w:numPr>
          <w:ilvl w:val="1"/>
          <w:numId w:val="1"/>
        </w:numPr>
        <w:rPr>
          <w:rFonts w:asciiTheme="minorHAnsi" w:hAnsiTheme="minorHAnsi"/>
        </w:rPr>
      </w:pPr>
      <w:r>
        <w:rPr>
          <w:rFonts w:asciiTheme="minorHAnsi" w:hAnsiTheme="minorHAnsi" w:cs="Arial"/>
        </w:rPr>
        <w:t>Detection of Insider Threat</w:t>
      </w:r>
      <w:r w:rsidR="00D2733C" w:rsidRPr="00D2733C">
        <w:rPr>
          <w:rFonts w:asciiTheme="minorHAnsi" w:hAnsiTheme="minorHAnsi" w:cs="Arial"/>
          <w:vertAlign w:val="superscript"/>
        </w:rPr>
        <w:fldChar w:fldCharType="begin"/>
      </w:r>
      <w:r w:rsidR="00D2733C" w:rsidRPr="00D2733C">
        <w:rPr>
          <w:rFonts w:asciiTheme="minorHAnsi" w:hAnsiTheme="minorHAnsi" w:cs="Arial"/>
          <w:vertAlign w:val="superscript"/>
        </w:rPr>
        <w:instrText xml:space="preserve"> NOTEREF _Ref450203435 \h </w:instrText>
      </w:r>
      <w:r w:rsidR="00D2733C" w:rsidRPr="00D2733C">
        <w:rPr>
          <w:rFonts w:asciiTheme="minorHAnsi" w:hAnsiTheme="minorHAnsi" w:cs="Arial"/>
          <w:vertAlign w:val="superscript"/>
        </w:rPr>
      </w:r>
      <w:r w:rsidR="00D2733C">
        <w:rPr>
          <w:rFonts w:asciiTheme="minorHAnsi" w:hAnsiTheme="minorHAnsi" w:cs="Arial"/>
          <w:vertAlign w:val="superscript"/>
        </w:rPr>
        <w:instrText xml:space="preserve"> \* MERGEFORMAT </w:instrText>
      </w:r>
      <w:r w:rsidR="00D2733C" w:rsidRPr="00D2733C">
        <w:rPr>
          <w:rFonts w:asciiTheme="minorHAnsi" w:hAnsiTheme="minorHAnsi" w:cs="Arial"/>
          <w:vertAlign w:val="superscript"/>
        </w:rPr>
        <w:fldChar w:fldCharType="separate"/>
      </w:r>
      <w:r w:rsidR="00D94222">
        <w:rPr>
          <w:rFonts w:asciiTheme="minorHAnsi" w:hAnsiTheme="minorHAnsi" w:cs="Arial"/>
          <w:vertAlign w:val="superscript"/>
        </w:rPr>
        <w:t>3</w:t>
      </w:r>
      <w:r w:rsidR="00D2733C" w:rsidRPr="00D2733C">
        <w:rPr>
          <w:rFonts w:asciiTheme="minorHAnsi" w:hAnsiTheme="minorHAnsi" w:cs="Arial"/>
          <w:vertAlign w:val="superscript"/>
        </w:rPr>
        <w:fldChar w:fldCharType="end"/>
      </w:r>
    </w:p>
    <w:p w:rsidR="004239E7" w:rsidRPr="005341A6" w:rsidRDefault="0049223F" w:rsidP="004239E7">
      <w:pPr>
        <w:pStyle w:val="ListParagraph"/>
        <w:numPr>
          <w:ilvl w:val="2"/>
          <w:numId w:val="1"/>
        </w:numPr>
        <w:rPr>
          <w:rFonts w:asciiTheme="minorHAnsi" w:hAnsiTheme="minorHAnsi"/>
        </w:rPr>
      </w:pPr>
      <w:r>
        <w:rPr>
          <w:rFonts w:asciiTheme="minorHAnsi" w:hAnsiTheme="minorHAnsi" w:cs="Arial"/>
        </w:rPr>
        <w:t>Using Audit Logs to Monitor Acceptable Use</w:t>
      </w:r>
    </w:p>
    <w:p w:rsidR="004239E7" w:rsidRPr="005341A6" w:rsidRDefault="004239E7" w:rsidP="004239E7">
      <w:pPr>
        <w:pStyle w:val="ListParagraph"/>
        <w:numPr>
          <w:ilvl w:val="1"/>
          <w:numId w:val="1"/>
        </w:numPr>
        <w:rPr>
          <w:rFonts w:asciiTheme="minorHAnsi" w:hAnsiTheme="minorHAnsi"/>
        </w:rPr>
      </w:pPr>
      <w:r>
        <w:rPr>
          <w:rFonts w:asciiTheme="minorHAnsi" w:hAnsiTheme="minorHAnsi" w:cs="Arial"/>
        </w:rPr>
        <w:t>Suspicious Behavior of Log Source</w:t>
      </w:r>
      <w:r w:rsidR="00D2733C" w:rsidRPr="00D2733C">
        <w:rPr>
          <w:rFonts w:asciiTheme="minorHAnsi" w:hAnsiTheme="minorHAnsi" w:cs="Arial"/>
          <w:vertAlign w:val="superscript"/>
        </w:rPr>
        <w:fldChar w:fldCharType="begin"/>
      </w:r>
      <w:r w:rsidR="00D2733C" w:rsidRPr="00D2733C">
        <w:rPr>
          <w:rFonts w:asciiTheme="minorHAnsi" w:hAnsiTheme="minorHAnsi" w:cs="Arial"/>
          <w:vertAlign w:val="superscript"/>
        </w:rPr>
        <w:instrText xml:space="preserve"> NOTEREF _Ref450203435 \h </w:instrText>
      </w:r>
      <w:r w:rsidR="00D2733C" w:rsidRPr="00D2733C">
        <w:rPr>
          <w:rFonts w:asciiTheme="minorHAnsi" w:hAnsiTheme="minorHAnsi" w:cs="Arial"/>
          <w:vertAlign w:val="superscript"/>
        </w:rPr>
      </w:r>
      <w:r w:rsidR="00D2733C">
        <w:rPr>
          <w:rFonts w:asciiTheme="minorHAnsi" w:hAnsiTheme="minorHAnsi" w:cs="Arial"/>
          <w:vertAlign w:val="superscript"/>
        </w:rPr>
        <w:instrText xml:space="preserve"> \* MERGEFORMAT </w:instrText>
      </w:r>
      <w:r w:rsidR="00D2733C" w:rsidRPr="00D2733C">
        <w:rPr>
          <w:rFonts w:asciiTheme="minorHAnsi" w:hAnsiTheme="minorHAnsi" w:cs="Arial"/>
          <w:vertAlign w:val="superscript"/>
        </w:rPr>
        <w:fldChar w:fldCharType="separate"/>
      </w:r>
      <w:r w:rsidR="00D94222">
        <w:rPr>
          <w:rFonts w:asciiTheme="minorHAnsi" w:hAnsiTheme="minorHAnsi" w:cs="Arial"/>
          <w:vertAlign w:val="superscript"/>
        </w:rPr>
        <w:t>3</w:t>
      </w:r>
      <w:r w:rsidR="00D2733C" w:rsidRPr="00D2733C">
        <w:rPr>
          <w:rFonts w:asciiTheme="minorHAnsi" w:hAnsiTheme="minorHAnsi" w:cs="Arial"/>
          <w:vertAlign w:val="superscript"/>
        </w:rPr>
        <w:fldChar w:fldCharType="end"/>
      </w:r>
    </w:p>
    <w:p w:rsidR="004239E7" w:rsidRPr="005341A6" w:rsidRDefault="00F65A91" w:rsidP="004239E7">
      <w:pPr>
        <w:pStyle w:val="ListParagraph"/>
        <w:numPr>
          <w:ilvl w:val="2"/>
          <w:numId w:val="1"/>
        </w:numPr>
        <w:rPr>
          <w:rFonts w:asciiTheme="minorHAnsi" w:hAnsiTheme="minorHAnsi"/>
        </w:rPr>
      </w:pPr>
      <w:r>
        <w:rPr>
          <w:rFonts w:asciiTheme="minorHAnsi" w:hAnsiTheme="minorHAnsi" w:cs="Arial"/>
        </w:rPr>
        <w:t>Expected host/l</w:t>
      </w:r>
      <w:r w:rsidR="004239E7">
        <w:rPr>
          <w:rFonts w:asciiTheme="minorHAnsi" w:hAnsiTheme="minorHAnsi" w:cs="Arial"/>
        </w:rPr>
        <w:t xml:space="preserve">og </w:t>
      </w:r>
      <w:r>
        <w:rPr>
          <w:rFonts w:asciiTheme="minorHAnsi" w:hAnsiTheme="minorHAnsi" w:cs="Arial"/>
        </w:rPr>
        <w:t>s</w:t>
      </w:r>
      <w:r w:rsidR="004239E7">
        <w:rPr>
          <w:rFonts w:asciiTheme="minorHAnsi" w:hAnsiTheme="minorHAnsi" w:cs="Arial"/>
        </w:rPr>
        <w:t xml:space="preserve">ource </w:t>
      </w:r>
      <w:r>
        <w:rPr>
          <w:rFonts w:asciiTheme="minorHAnsi" w:hAnsiTheme="minorHAnsi" w:cs="Arial"/>
        </w:rPr>
        <w:t>not r</w:t>
      </w:r>
      <w:r w:rsidR="004239E7">
        <w:rPr>
          <w:rFonts w:asciiTheme="minorHAnsi" w:hAnsiTheme="minorHAnsi" w:cs="Arial"/>
        </w:rPr>
        <w:t>eporting</w:t>
      </w:r>
    </w:p>
    <w:p w:rsidR="00F65A91" w:rsidRPr="00D2733C" w:rsidRDefault="004239E7" w:rsidP="00D2733C">
      <w:pPr>
        <w:pStyle w:val="ListParagraph"/>
        <w:numPr>
          <w:ilvl w:val="2"/>
          <w:numId w:val="1"/>
        </w:numPr>
        <w:rPr>
          <w:rFonts w:asciiTheme="minorHAnsi" w:hAnsiTheme="minorHAnsi"/>
        </w:rPr>
      </w:pPr>
      <w:r>
        <w:rPr>
          <w:rFonts w:asciiTheme="minorHAnsi" w:hAnsiTheme="minorHAnsi" w:cs="Arial"/>
        </w:rPr>
        <w:t>Unexpec</w:t>
      </w:r>
      <w:r w:rsidR="00F65A91">
        <w:rPr>
          <w:rFonts w:asciiTheme="minorHAnsi" w:hAnsiTheme="minorHAnsi" w:cs="Arial"/>
        </w:rPr>
        <w:t>ted events per second from log s</w:t>
      </w:r>
      <w:r>
        <w:rPr>
          <w:rFonts w:asciiTheme="minorHAnsi" w:hAnsiTheme="minorHAnsi" w:cs="Arial"/>
        </w:rPr>
        <w:t>ources</w:t>
      </w:r>
    </w:p>
    <w:p w:rsidR="00E70BFC" w:rsidRPr="00E70BFC" w:rsidRDefault="00F65A91" w:rsidP="00E70BFC">
      <w:pPr>
        <w:pStyle w:val="ListParagraph"/>
        <w:numPr>
          <w:ilvl w:val="0"/>
          <w:numId w:val="1"/>
        </w:numPr>
      </w:pPr>
      <w:r>
        <w:t>Log</w:t>
      </w:r>
      <w:r w:rsidR="004239E7">
        <w:t xml:space="preserve"> </w:t>
      </w:r>
      <w:r w:rsidR="00E70BFC" w:rsidRPr="00E70BFC">
        <w:t>History of Changes</w:t>
      </w:r>
    </w:p>
    <w:p w:rsidR="00E70BFC" w:rsidRPr="00E70BFC" w:rsidRDefault="00E70BFC" w:rsidP="00E70BFC">
      <w:pPr>
        <w:pStyle w:val="ListParagraph"/>
        <w:numPr>
          <w:ilvl w:val="1"/>
          <w:numId w:val="1"/>
        </w:numPr>
        <w:rPr>
          <w:rFonts w:asciiTheme="minorHAnsi" w:hAnsiTheme="minorHAnsi"/>
        </w:rPr>
      </w:pPr>
      <w:r w:rsidRPr="00E70BFC">
        <w:rPr>
          <w:rFonts w:asciiTheme="minorHAnsi" w:hAnsiTheme="minorHAnsi" w:cs="Arial"/>
        </w:rPr>
        <w:t>System retains history of create and change dates and IDs on all records (objects, procedures, vocabularies).</w:t>
      </w:r>
    </w:p>
    <w:p w:rsidR="00E70BFC" w:rsidRPr="00E70BFC" w:rsidRDefault="00E70BFC" w:rsidP="00E70BFC">
      <w:pPr>
        <w:pStyle w:val="ListParagraph"/>
        <w:numPr>
          <w:ilvl w:val="1"/>
          <w:numId w:val="1"/>
        </w:numPr>
        <w:rPr>
          <w:rFonts w:asciiTheme="minorHAnsi" w:hAnsiTheme="minorHAnsi"/>
        </w:rPr>
      </w:pPr>
      <w:r w:rsidRPr="00E70BFC">
        <w:rPr>
          <w:rFonts w:asciiTheme="minorHAnsi" w:hAnsiTheme="minorHAnsi" w:cs="Arial"/>
        </w:rPr>
        <w:t>Programmer can produce a listing of changes for certain time periods and/or certain record types.</w:t>
      </w:r>
    </w:p>
    <w:p w:rsidR="005341A6" w:rsidRPr="00785E04" w:rsidRDefault="00E70BFC" w:rsidP="00E76340">
      <w:pPr>
        <w:pStyle w:val="ListParagraph"/>
        <w:numPr>
          <w:ilvl w:val="1"/>
          <w:numId w:val="1"/>
        </w:numPr>
        <w:rPr>
          <w:rFonts w:asciiTheme="minorHAnsi" w:hAnsiTheme="minorHAnsi"/>
        </w:rPr>
      </w:pPr>
      <w:r w:rsidRPr="00E70BFC">
        <w:rPr>
          <w:rFonts w:asciiTheme="minorHAnsi" w:hAnsiTheme="minorHAnsi" w:cs="Arial"/>
        </w:rPr>
        <w:t>User with appropriate permissions can view history of changes for records.</w:t>
      </w:r>
    </w:p>
    <w:p w:rsidR="00785E04" w:rsidRPr="00E76340" w:rsidRDefault="00785E04" w:rsidP="00785E04">
      <w:pPr>
        <w:pStyle w:val="ListParagraph"/>
        <w:numPr>
          <w:ilvl w:val="0"/>
          <w:numId w:val="1"/>
        </w:numPr>
        <w:rPr>
          <w:rFonts w:asciiTheme="minorHAnsi" w:hAnsiTheme="minorHAnsi"/>
        </w:rPr>
      </w:pPr>
      <w:r>
        <w:rPr>
          <w:rFonts w:asciiTheme="minorHAnsi" w:hAnsiTheme="minorHAnsi" w:cs="Arial"/>
        </w:rPr>
        <w:t>Archive Audit Trails</w:t>
      </w:r>
      <w:r w:rsidRPr="00785E04">
        <w:rPr>
          <w:rFonts w:asciiTheme="minorHAnsi" w:hAnsiTheme="minorHAnsi" w:cs="Arial"/>
          <w:vertAlign w:val="superscript"/>
        </w:rPr>
        <w:fldChar w:fldCharType="begin"/>
      </w:r>
      <w:r w:rsidRPr="00785E04">
        <w:rPr>
          <w:rFonts w:asciiTheme="minorHAnsi" w:hAnsiTheme="minorHAnsi" w:cs="Arial"/>
          <w:vertAlign w:val="superscript"/>
        </w:rPr>
        <w:instrText xml:space="preserve"> NOTEREF _Ref450204648 \h </w:instrText>
      </w:r>
      <w:r w:rsidRPr="00785E04">
        <w:rPr>
          <w:rFonts w:asciiTheme="minorHAnsi" w:hAnsiTheme="minorHAnsi" w:cs="Arial"/>
          <w:vertAlign w:val="superscript"/>
        </w:rPr>
      </w:r>
      <w:r>
        <w:rPr>
          <w:rFonts w:asciiTheme="minorHAnsi" w:hAnsiTheme="minorHAnsi" w:cs="Arial"/>
          <w:vertAlign w:val="superscript"/>
        </w:rPr>
        <w:instrText xml:space="preserve"> \* MERGEFORMAT </w:instrText>
      </w:r>
      <w:r w:rsidRPr="00785E04">
        <w:rPr>
          <w:rFonts w:asciiTheme="minorHAnsi" w:hAnsiTheme="minorHAnsi" w:cs="Arial"/>
          <w:vertAlign w:val="superscript"/>
        </w:rPr>
        <w:fldChar w:fldCharType="separate"/>
      </w:r>
      <w:r w:rsidRPr="00785E04">
        <w:rPr>
          <w:rFonts w:asciiTheme="minorHAnsi" w:hAnsiTheme="minorHAnsi" w:cs="Arial"/>
          <w:vertAlign w:val="superscript"/>
        </w:rPr>
        <w:t>1</w:t>
      </w:r>
      <w:r w:rsidRPr="00785E04">
        <w:rPr>
          <w:rFonts w:asciiTheme="minorHAnsi" w:hAnsiTheme="minorHAnsi" w:cs="Arial"/>
          <w:vertAlign w:val="superscript"/>
        </w:rPr>
        <w:fldChar w:fldCharType="end"/>
      </w:r>
    </w:p>
    <w:p w:rsidR="00E76340" w:rsidRDefault="00E76340" w:rsidP="00E76340">
      <w:pPr>
        <w:pStyle w:val="Heading1"/>
      </w:pPr>
      <w:r>
        <w:lastRenderedPageBreak/>
        <w:t>Format of Use Cases</w:t>
      </w:r>
      <w:r w:rsidR="00163535">
        <w:rPr>
          <w:rStyle w:val="FootnoteReference"/>
        </w:rPr>
        <w:footnoteReference w:id="4"/>
      </w:r>
    </w:p>
    <w:p w:rsidR="00E76340" w:rsidRDefault="00E76340" w:rsidP="00E76340">
      <w:pPr>
        <w:pStyle w:val="Heading2"/>
      </w:pPr>
      <w:r>
        <w:t>UML Diagram</w:t>
      </w:r>
    </w:p>
    <w:p w:rsidR="00E76340" w:rsidRDefault="00E76340" w:rsidP="00E76340">
      <w:pPr>
        <w:rPr>
          <w:lang w:val="en-CA" w:eastAsia="ar-SA"/>
        </w:rPr>
      </w:pPr>
      <w:r>
        <w:rPr>
          <w:noProof/>
        </w:rPr>
        <w:drawing>
          <wp:inline distT="0" distB="0" distL="0" distR="0">
            <wp:extent cx="3943985" cy="3204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985" cy="3204210"/>
                    </a:xfrm>
                    <a:prstGeom prst="rect">
                      <a:avLst/>
                    </a:prstGeom>
                    <a:noFill/>
                    <a:ln>
                      <a:noFill/>
                    </a:ln>
                  </pic:spPr>
                </pic:pic>
              </a:graphicData>
            </a:graphic>
          </wp:inline>
        </w:drawing>
      </w:r>
    </w:p>
    <w:p w:rsidR="00E76340" w:rsidRPr="00E76340" w:rsidRDefault="00E76340" w:rsidP="00E76340">
      <w:pPr>
        <w:pStyle w:val="Heading2"/>
      </w:pPr>
      <w:r>
        <w:t>Use Case Descriptions</w:t>
      </w:r>
    </w:p>
    <w:p w:rsidR="00E76340" w:rsidRPr="00F90946" w:rsidRDefault="00E76340" w:rsidP="00E76340">
      <w:pPr>
        <w:pStyle w:val="Heading3"/>
        <w:keepLines/>
        <w:numPr>
          <w:ilvl w:val="2"/>
          <w:numId w:val="2"/>
        </w:numPr>
        <w:rPr>
          <w:lang w:val="en-US"/>
        </w:rPr>
      </w:pPr>
      <w:bookmarkStart w:id="3" w:name="_Toc269368876"/>
      <w:bookmarkStart w:id="4" w:name="_Toc269368875"/>
      <w:r w:rsidRPr="00F90946">
        <w:rPr>
          <w:lang w:val="en-US"/>
        </w:rPr>
        <w:t>Use Case AU-1: Submit Audit Record</w:t>
      </w:r>
      <w:r w:rsidRPr="00F90946">
        <w:rPr>
          <w:rStyle w:val="FootnoteCharacters"/>
          <w:lang w:val="en-US"/>
        </w:rPr>
        <w:footnoteReference w:id="5"/>
      </w:r>
      <w:bookmarkEnd w:id="4"/>
    </w:p>
    <w:p w:rsidR="00E76340" w:rsidRPr="00F90946" w:rsidRDefault="00E76340" w:rsidP="00E76340">
      <w:pPr>
        <w:pStyle w:val="Heading4"/>
        <w:keepLines/>
        <w:rPr>
          <w:lang w:val="en-US"/>
        </w:rPr>
      </w:pPr>
      <w:r w:rsidRPr="00F90946">
        <w:rPr>
          <w:lang w:val="en-US"/>
        </w:rPr>
        <w:t>Description</w:t>
      </w:r>
    </w:p>
    <w:p w:rsidR="00E76340" w:rsidRPr="00F90946" w:rsidRDefault="00E76340" w:rsidP="00E76340">
      <w:pPr>
        <w:keepLines/>
      </w:pPr>
      <w:r w:rsidRPr="00F90946">
        <w:t xml:space="preserve">Invoke a function to submit a record of an auditable event. </w:t>
      </w:r>
    </w:p>
    <w:p w:rsidR="00E76340" w:rsidRPr="00F90946" w:rsidRDefault="00E76340" w:rsidP="00E76340">
      <w:pPr>
        <w:pStyle w:val="Heading4"/>
        <w:rPr>
          <w:lang w:val="en-US"/>
        </w:rPr>
      </w:pPr>
      <w:r w:rsidRPr="00F90946">
        <w:rPr>
          <w:lang w:val="en-US"/>
        </w:rPr>
        <w:t>Assumptions</w:t>
      </w:r>
    </w:p>
    <w:p w:rsidR="00E76340" w:rsidRPr="00F90946" w:rsidRDefault="00E76340" w:rsidP="00E76340">
      <w:pPr>
        <w:widowControl w:val="0"/>
        <w:numPr>
          <w:ilvl w:val="0"/>
          <w:numId w:val="4"/>
        </w:numPr>
        <w:suppressAutoHyphens/>
        <w:spacing w:after="120" w:line="240" w:lineRule="auto"/>
        <w:rPr>
          <w:szCs w:val="20"/>
        </w:rPr>
      </w:pPr>
      <w:r w:rsidRPr="00A36C6F">
        <w:t>In</w:t>
      </w:r>
      <w:r w:rsidRPr="00F90946">
        <w:rPr>
          <w:szCs w:val="20"/>
        </w:rPr>
        <w:t xml:space="preserve"> order for an audit trail to effectively support one or more distributed Audit Event Sources, those Sources, and all Audit Service components must maintain consistent time from a designated authoritative time service.   The accuracy requirement of the coordinated timekeeping is a policy decision.</w:t>
      </w:r>
    </w:p>
    <w:p w:rsidR="00E76340" w:rsidRPr="00F90946" w:rsidRDefault="00E76340" w:rsidP="00E76340">
      <w:pPr>
        <w:widowControl w:val="0"/>
        <w:numPr>
          <w:ilvl w:val="0"/>
          <w:numId w:val="4"/>
        </w:numPr>
        <w:suppressAutoHyphens/>
        <w:spacing w:after="120" w:line="240" w:lineRule="auto"/>
        <w:rPr>
          <w:szCs w:val="20"/>
        </w:rPr>
      </w:pPr>
      <w:r w:rsidRPr="00F90946">
        <w:rPr>
          <w:szCs w:val="20"/>
        </w:rPr>
        <w:t>Appropriate security controls are in place to ensure that adequate protection of the audit event information both in transit and at rest.</w:t>
      </w:r>
    </w:p>
    <w:p w:rsidR="00E76340" w:rsidRPr="00F90946" w:rsidRDefault="00E76340" w:rsidP="00E76340">
      <w:pPr>
        <w:pStyle w:val="Heading4"/>
        <w:rPr>
          <w:lang w:val="en-US"/>
        </w:rPr>
      </w:pPr>
      <w:r w:rsidRPr="00F90946">
        <w:rPr>
          <w:lang w:val="en-US"/>
        </w:rPr>
        <w:lastRenderedPageBreak/>
        <w:t>Actors</w:t>
      </w:r>
    </w:p>
    <w:p w:rsidR="00E76340" w:rsidRPr="00F90946" w:rsidRDefault="00E76340" w:rsidP="00E76340">
      <w:r w:rsidRPr="00F90946">
        <w:t xml:space="preserve">Audit Event Source </w:t>
      </w:r>
    </w:p>
    <w:p w:rsidR="00E76340" w:rsidRPr="00F90946" w:rsidRDefault="00E76340" w:rsidP="00E76340">
      <w:pPr>
        <w:pStyle w:val="Heading4"/>
        <w:rPr>
          <w:lang w:val="en-US"/>
        </w:rPr>
      </w:pPr>
      <w:r w:rsidRPr="00F90946">
        <w:rPr>
          <w:lang w:val="en-US"/>
        </w:rPr>
        <w:t>Trigger Event</w:t>
      </w:r>
    </w:p>
    <w:p w:rsidR="00E76340" w:rsidRPr="00F90946" w:rsidRDefault="00E76340" w:rsidP="00E76340">
      <w:r w:rsidRPr="00F90946">
        <w:t>The use case is triggered when one or more records of auditable events are ready to be transmitted</w:t>
      </w:r>
      <w:r w:rsidRPr="00F90946">
        <w:rPr>
          <w:rStyle w:val="FootnoteCharacters"/>
        </w:rPr>
        <w:footnoteReference w:id="6"/>
      </w:r>
      <w:r w:rsidRPr="00F90946">
        <w:t>.</w:t>
      </w:r>
    </w:p>
    <w:p w:rsidR="00E76340" w:rsidRPr="00F90946" w:rsidRDefault="00E76340" w:rsidP="00E76340">
      <w:pPr>
        <w:pStyle w:val="Heading4"/>
        <w:rPr>
          <w:lang w:val="en-US"/>
        </w:rPr>
      </w:pPr>
      <w:r w:rsidRPr="00F90946">
        <w:rPr>
          <w:lang w:val="en-US"/>
        </w:rPr>
        <w:t xml:space="preserve">Pre-conditions </w:t>
      </w:r>
    </w:p>
    <w:p w:rsidR="00E76340" w:rsidRPr="00F90946" w:rsidRDefault="00E76340" w:rsidP="00E76340">
      <w:pPr>
        <w:widowControl w:val="0"/>
        <w:numPr>
          <w:ilvl w:val="0"/>
          <w:numId w:val="4"/>
        </w:numPr>
        <w:suppressAutoHyphens/>
        <w:spacing w:after="120" w:line="240" w:lineRule="auto"/>
      </w:pPr>
      <w:r w:rsidRPr="00F90946">
        <w:t>The audit event source has been configured with the endpoint address of the Audit Service(s).</w:t>
      </w:r>
    </w:p>
    <w:p w:rsidR="00E76340" w:rsidRPr="00F90946" w:rsidRDefault="00E76340" w:rsidP="00E76340">
      <w:pPr>
        <w:pStyle w:val="Heading4"/>
        <w:rPr>
          <w:lang w:val="en-US"/>
        </w:rPr>
      </w:pPr>
      <w:r w:rsidRPr="00F90946">
        <w:rPr>
          <w:lang w:val="en-US"/>
        </w:rPr>
        <w:t>Post-conditions</w:t>
      </w:r>
    </w:p>
    <w:p w:rsidR="00E76340" w:rsidRPr="00F90946" w:rsidRDefault="00E76340" w:rsidP="00E76340">
      <w:pPr>
        <w:widowControl w:val="0"/>
        <w:numPr>
          <w:ilvl w:val="0"/>
          <w:numId w:val="4"/>
        </w:numPr>
        <w:suppressAutoHyphens/>
        <w:spacing w:after="120" w:line="240" w:lineRule="auto"/>
      </w:pPr>
      <w:r w:rsidRPr="00F90946">
        <w:t>The Audit Service has accepted the audit event record(s).</w:t>
      </w:r>
    </w:p>
    <w:p w:rsidR="00446C62" w:rsidRPr="00F90946" w:rsidRDefault="00446C62" w:rsidP="00446C62">
      <w:pPr>
        <w:pStyle w:val="Heading3"/>
        <w:numPr>
          <w:ilvl w:val="2"/>
          <w:numId w:val="2"/>
        </w:numPr>
        <w:rPr>
          <w:lang w:val="en-US"/>
        </w:rPr>
      </w:pPr>
      <w:r w:rsidRPr="00F90946">
        <w:rPr>
          <w:lang w:val="en-US"/>
        </w:rPr>
        <w:t>Use Case AU-2: Retrieve Disclosure Records</w:t>
      </w:r>
      <w:r w:rsidRPr="00F90946">
        <w:rPr>
          <w:rStyle w:val="FootnoteCharacters"/>
          <w:lang w:val="en-US"/>
        </w:rPr>
        <w:footnoteReference w:id="7"/>
      </w:r>
      <w:bookmarkEnd w:id="3"/>
    </w:p>
    <w:p w:rsidR="00446C62" w:rsidRPr="00F90946" w:rsidRDefault="00446C62" w:rsidP="00446C62">
      <w:pPr>
        <w:pStyle w:val="Heading4"/>
        <w:rPr>
          <w:lang w:val="en-US"/>
        </w:rPr>
      </w:pPr>
      <w:r w:rsidRPr="00F90946">
        <w:rPr>
          <w:lang w:val="en-US"/>
        </w:rPr>
        <w:t>Description</w:t>
      </w:r>
    </w:p>
    <w:p w:rsidR="00446C62" w:rsidRPr="00F90946" w:rsidRDefault="00446C62" w:rsidP="00446C62">
      <w:r w:rsidRPr="00F90946">
        <w:t>Provide a mechanism to extract information to support downstream production of accounting of disclosure reports.   Return disclosure records that may subsequently be used to identify disclosure of PHI.</w:t>
      </w:r>
    </w:p>
    <w:p w:rsidR="00446C62" w:rsidRPr="00F90946" w:rsidRDefault="00446C62" w:rsidP="00446C62">
      <w:pPr>
        <w:pStyle w:val="Heading4"/>
        <w:rPr>
          <w:lang w:val="en-US"/>
        </w:rPr>
      </w:pPr>
      <w:r w:rsidRPr="00F90946">
        <w:rPr>
          <w:lang w:val="en-US"/>
        </w:rPr>
        <w:t>Assumptions</w:t>
      </w:r>
    </w:p>
    <w:p w:rsidR="00446C62" w:rsidRPr="00F90946" w:rsidRDefault="00446C62" w:rsidP="00446C62">
      <w:pPr>
        <w:widowControl w:val="0"/>
        <w:numPr>
          <w:ilvl w:val="0"/>
          <w:numId w:val="4"/>
        </w:numPr>
        <w:suppressAutoHyphens/>
        <w:spacing w:after="120" w:line="240" w:lineRule="auto"/>
      </w:pPr>
      <w:r w:rsidRPr="00F90946">
        <w:t>Complete privacy accounting extends beyond the scope of the events captured by any electronic health system and includes handling of PHI that is not in electronic form.  As a result the Audit Service may not be sole source of information required to enable the production of downstream reports.</w:t>
      </w:r>
    </w:p>
    <w:p w:rsidR="00446C62" w:rsidRPr="00F90946" w:rsidRDefault="00446C62" w:rsidP="00446C62">
      <w:pPr>
        <w:widowControl w:val="0"/>
        <w:numPr>
          <w:ilvl w:val="0"/>
          <w:numId w:val="4"/>
        </w:numPr>
        <w:suppressAutoHyphens/>
        <w:spacing w:after="120" w:line="240" w:lineRule="auto"/>
      </w:pPr>
      <w:r w:rsidRPr="00F90946">
        <w:t xml:space="preserve">This capability will not have the ability to directly detect all potentially non-compliant </w:t>
      </w:r>
      <w:r>
        <w:t>behavior</w:t>
      </w:r>
      <w:r w:rsidRPr="00F90946">
        <w:t xml:space="preserve">; however it can be used to support the identification of such </w:t>
      </w:r>
      <w:r>
        <w:t>behavior</w:t>
      </w:r>
      <w:r w:rsidRPr="00F90946">
        <w:t>.</w:t>
      </w:r>
    </w:p>
    <w:p w:rsidR="00446C62" w:rsidRPr="00F90946" w:rsidRDefault="00446C62" w:rsidP="00446C62">
      <w:pPr>
        <w:widowControl w:val="0"/>
        <w:numPr>
          <w:ilvl w:val="0"/>
          <w:numId w:val="4"/>
        </w:numPr>
        <w:suppressAutoHyphens/>
        <w:spacing w:after="120" w:line="240" w:lineRule="auto"/>
      </w:pPr>
      <w:r w:rsidRPr="00F90946">
        <w:t xml:space="preserve">We expect that the data provided by this capability will be supplemented by mechanisms that will allow identities in the record to be resolved. </w:t>
      </w:r>
    </w:p>
    <w:p w:rsidR="00446C62" w:rsidRPr="00F90946" w:rsidRDefault="00446C62" w:rsidP="00446C62">
      <w:pPr>
        <w:pStyle w:val="Heading4"/>
        <w:rPr>
          <w:lang w:val="en-US"/>
        </w:rPr>
      </w:pPr>
      <w:r w:rsidRPr="00F90946">
        <w:rPr>
          <w:lang w:val="en-US"/>
        </w:rPr>
        <w:t>Actors</w:t>
      </w:r>
    </w:p>
    <w:p w:rsidR="00446C62" w:rsidRPr="00F90946" w:rsidRDefault="00446C62" w:rsidP="00446C62">
      <w:pPr>
        <w:widowControl w:val="0"/>
        <w:numPr>
          <w:ilvl w:val="0"/>
          <w:numId w:val="4"/>
        </w:numPr>
        <w:suppressAutoHyphens/>
        <w:spacing w:after="120" w:line="240" w:lineRule="auto"/>
      </w:pPr>
      <w:r w:rsidRPr="00F90946">
        <w:t>Audit Record Repository</w:t>
      </w:r>
    </w:p>
    <w:p w:rsidR="00446C62" w:rsidRPr="00F90946" w:rsidRDefault="00446C62" w:rsidP="00446C62">
      <w:pPr>
        <w:widowControl w:val="0"/>
        <w:numPr>
          <w:ilvl w:val="0"/>
          <w:numId w:val="4"/>
        </w:numPr>
        <w:suppressAutoHyphens/>
        <w:spacing w:after="120" w:line="240" w:lineRule="auto"/>
      </w:pPr>
      <w:r w:rsidRPr="00F90946">
        <w:t>Privacy Accounting Component</w:t>
      </w:r>
    </w:p>
    <w:p w:rsidR="00446C62" w:rsidRPr="00F90946" w:rsidRDefault="00446C62" w:rsidP="00446C62">
      <w:pPr>
        <w:pStyle w:val="Heading4"/>
        <w:rPr>
          <w:lang w:val="en-US"/>
        </w:rPr>
      </w:pPr>
      <w:r w:rsidRPr="00F90946">
        <w:rPr>
          <w:lang w:val="en-US"/>
        </w:rPr>
        <w:t>Trigger Event</w:t>
      </w:r>
    </w:p>
    <w:p w:rsidR="00446C62" w:rsidRPr="00F90946" w:rsidRDefault="00446C62" w:rsidP="00446C62">
      <w:pPr>
        <w:rPr>
          <w:iCs/>
        </w:rPr>
      </w:pPr>
      <w:r w:rsidRPr="00F90946">
        <w:rPr>
          <w:iCs/>
        </w:rPr>
        <w:t>The use case is triggered by a request for disclosure information.</w:t>
      </w:r>
    </w:p>
    <w:p w:rsidR="00446C62" w:rsidRPr="00F90946" w:rsidRDefault="00446C62" w:rsidP="00446C62">
      <w:pPr>
        <w:pStyle w:val="Heading4"/>
        <w:rPr>
          <w:lang w:val="en-US"/>
        </w:rPr>
      </w:pPr>
      <w:r w:rsidRPr="00F90946">
        <w:rPr>
          <w:lang w:val="en-US"/>
        </w:rPr>
        <w:lastRenderedPageBreak/>
        <w:t>Pre-conditions</w:t>
      </w:r>
    </w:p>
    <w:p w:rsidR="00446C62" w:rsidRPr="00F90946" w:rsidRDefault="00446C62" w:rsidP="00446C62">
      <w:pPr>
        <w:widowControl w:val="0"/>
        <w:numPr>
          <w:ilvl w:val="0"/>
          <w:numId w:val="4"/>
        </w:numPr>
        <w:suppressAutoHyphens/>
        <w:spacing w:after="120" w:line="240" w:lineRule="auto"/>
      </w:pPr>
      <w:r w:rsidRPr="00F90946">
        <w:t>The Privacy Accounting component has the appropriate authority to access the capability.</w:t>
      </w:r>
    </w:p>
    <w:p w:rsidR="00446C62" w:rsidRPr="00F90946" w:rsidRDefault="00446C62" w:rsidP="00446C62">
      <w:pPr>
        <w:pStyle w:val="Heading4"/>
        <w:rPr>
          <w:lang w:val="en-US"/>
        </w:rPr>
      </w:pPr>
      <w:r w:rsidRPr="00F90946">
        <w:rPr>
          <w:lang w:val="en-US"/>
        </w:rPr>
        <w:t>Post-conditions</w:t>
      </w:r>
    </w:p>
    <w:p w:rsidR="00E05525" w:rsidRDefault="00446C62" w:rsidP="00E05525">
      <w:pPr>
        <w:widowControl w:val="0"/>
        <w:numPr>
          <w:ilvl w:val="0"/>
          <w:numId w:val="4"/>
        </w:numPr>
        <w:suppressAutoHyphens/>
        <w:spacing w:after="120" w:line="240" w:lineRule="auto"/>
      </w:pPr>
      <w:r w:rsidRPr="00F90946">
        <w:t>All available information that satisfies the request criteria has been returned to the invoking Actor.</w:t>
      </w:r>
    </w:p>
    <w:p w:rsidR="00E05525" w:rsidRDefault="00E05525" w:rsidP="00E05525">
      <w:pPr>
        <w:pStyle w:val="Heading2"/>
      </w:pPr>
      <w:r>
        <w:t>Work Flow Example for Security Audit and Alarm Functions</w:t>
      </w:r>
      <w:r w:rsidR="00163535">
        <w:rPr>
          <w:rStyle w:val="FootnoteReference"/>
        </w:rPr>
        <w:footnoteReference w:id="8"/>
      </w:r>
      <w:bookmarkStart w:id="5" w:name="_GoBack"/>
      <w:bookmarkEnd w:id="5"/>
    </w:p>
    <w:p w:rsidR="00E05525" w:rsidRPr="00E05525" w:rsidRDefault="00E05525" w:rsidP="00E05525">
      <w:pPr>
        <w:rPr>
          <w:lang w:val="en-CA" w:eastAsia="ar-SA"/>
        </w:rPr>
      </w:pPr>
      <w:r>
        <w:rPr>
          <w:noProof/>
        </w:rPr>
        <w:drawing>
          <wp:inline distT="0" distB="0" distL="0" distR="0">
            <wp:extent cx="5943600" cy="470103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01031"/>
                    </a:xfrm>
                    <a:prstGeom prst="rect">
                      <a:avLst/>
                    </a:prstGeom>
                    <a:solidFill>
                      <a:srgbClr val="FFFFFF"/>
                    </a:solidFill>
                    <a:ln>
                      <a:noFill/>
                    </a:ln>
                  </pic:spPr>
                </pic:pic>
              </a:graphicData>
            </a:graphic>
          </wp:inline>
        </w:drawing>
      </w:r>
    </w:p>
    <w:sectPr w:rsidR="00E05525" w:rsidRPr="00E055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9A" w:rsidRDefault="00D2649A" w:rsidP="00446C62">
      <w:pPr>
        <w:spacing w:after="0" w:line="240" w:lineRule="auto"/>
      </w:pPr>
      <w:r>
        <w:separator/>
      </w:r>
    </w:p>
  </w:endnote>
  <w:endnote w:type="continuationSeparator" w:id="0">
    <w:p w:rsidR="00D2649A" w:rsidRDefault="00D2649A" w:rsidP="0044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9A" w:rsidRDefault="00D2649A" w:rsidP="00446C62">
      <w:pPr>
        <w:spacing w:after="0" w:line="240" w:lineRule="auto"/>
      </w:pPr>
      <w:r>
        <w:separator/>
      </w:r>
    </w:p>
  </w:footnote>
  <w:footnote w:type="continuationSeparator" w:id="0">
    <w:p w:rsidR="00D2649A" w:rsidRDefault="00D2649A" w:rsidP="00446C62">
      <w:pPr>
        <w:spacing w:after="0" w:line="240" w:lineRule="auto"/>
      </w:pPr>
      <w:r>
        <w:continuationSeparator/>
      </w:r>
    </w:p>
  </w:footnote>
  <w:footnote w:id="1">
    <w:p w:rsidR="00D94222" w:rsidRPr="00D94222" w:rsidRDefault="00D94222">
      <w:pPr>
        <w:pStyle w:val="FootnoteText"/>
        <w:rPr>
          <w:lang w:val="en-US"/>
        </w:rPr>
      </w:pPr>
      <w:r>
        <w:rPr>
          <w:rStyle w:val="FootnoteReference"/>
        </w:rPr>
        <w:footnoteRef/>
      </w:r>
      <w:r>
        <w:t xml:space="preserve"> </w:t>
      </w:r>
      <w:r>
        <w:rPr>
          <w:lang w:val="en-US"/>
        </w:rPr>
        <w:t>VHA Audit Functional Model and SRSC audit requirements.</w:t>
      </w:r>
    </w:p>
  </w:footnote>
  <w:footnote w:id="2">
    <w:p w:rsidR="00D94222" w:rsidRPr="00D94222" w:rsidRDefault="00D94222">
      <w:pPr>
        <w:pStyle w:val="FootnoteText"/>
        <w:rPr>
          <w:lang w:val="en-US"/>
        </w:rPr>
      </w:pPr>
      <w:r>
        <w:rPr>
          <w:rStyle w:val="FootnoteReference"/>
        </w:rPr>
        <w:footnoteRef/>
      </w:r>
      <w:r>
        <w:t xml:space="preserve"> HL7 PASS Healthcare Audit Control Services draft standard.</w:t>
      </w:r>
    </w:p>
  </w:footnote>
  <w:footnote w:id="3">
    <w:p w:rsidR="00D2733C" w:rsidRPr="00D2733C" w:rsidRDefault="00D2733C">
      <w:pPr>
        <w:pStyle w:val="FootnoteText"/>
        <w:rPr>
          <w:lang w:val="en-US"/>
        </w:rPr>
      </w:pPr>
      <w:r>
        <w:rPr>
          <w:rStyle w:val="FootnoteReference"/>
        </w:rPr>
        <w:footnoteRef/>
      </w:r>
      <w:r>
        <w:t xml:space="preserve"> </w:t>
      </w:r>
      <w:r w:rsidR="0049223F">
        <w:rPr>
          <w:lang w:val="en-US"/>
        </w:rPr>
        <w:t xml:space="preserve">Derived from </w:t>
      </w:r>
      <w:r>
        <w:rPr>
          <w:lang w:val="en-US"/>
        </w:rPr>
        <w:t xml:space="preserve">Top 6 </w:t>
      </w:r>
      <w:r w:rsidRPr="0049223F">
        <w:rPr>
          <w:i/>
          <w:lang w:val="en-US"/>
        </w:rPr>
        <w:t>Security Incident and Event Management (SIEM) Use Cases</w:t>
      </w:r>
      <w:r>
        <w:rPr>
          <w:lang w:val="en-US"/>
        </w:rPr>
        <w:t xml:space="preserve">, http://resources.infosecinstitute.com/top-6-seim-use-cases/ </w:t>
      </w:r>
    </w:p>
  </w:footnote>
  <w:footnote w:id="4">
    <w:p w:rsidR="00163535" w:rsidRPr="00D94222" w:rsidRDefault="00163535" w:rsidP="00163535">
      <w:pPr>
        <w:pStyle w:val="FootnoteText"/>
        <w:rPr>
          <w:lang w:val="en-US"/>
        </w:rPr>
      </w:pPr>
      <w:r>
        <w:rPr>
          <w:rStyle w:val="FootnoteReference"/>
        </w:rPr>
        <w:footnoteRef/>
      </w:r>
      <w:r>
        <w:t xml:space="preserve"> HL7 PASS Healthcare Audit Control Services draft standard.</w:t>
      </w:r>
    </w:p>
  </w:footnote>
  <w:footnote w:id="5">
    <w:p w:rsidR="00E76340" w:rsidRDefault="00E76340" w:rsidP="00E76340">
      <w:pPr>
        <w:pStyle w:val="FootnoteText"/>
      </w:pPr>
      <w:r>
        <w:rPr>
          <w:rStyle w:val="FootnoteCharacters"/>
        </w:rPr>
        <w:footnoteRef/>
      </w:r>
      <w:r>
        <w:tab/>
        <w:t xml:space="preserve"> An instance of the refinement of this use case into specifications at the Platform Specific level has been completed as DICOM Supplement 95 (ISO TS 12052), and the Record Audit Event transaction of the IHE ATNA specification (see Appendix B).   These specifications are referenced in this document in the appropriate sections.</w:t>
      </w:r>
    </w:p>
  </w:footnote>
  <w:footnote w:id="6">
    <w:p w:rsidR="00E76340" w:rsidRDefault="00E76340" w:rsidP="00E76340">
      <w:pPr>
        <w:pStyle w:val="FootnoteText"/>
      </w:pPr>
      <w:r>
        <w:rPr>
          <w:rStyle w:val="FootnoteCharacters"/>
        </w:rPr>
        <w:footnoteRef/>
      </w:r>
      <w:r>
        <w:tab/>
        <w:t xml:space="preserve"> The use case is not necessarily triggered by the occurrence of an auditable event, although it can be.   Generally, the Audit Event Source determines when conditions are appropriate to submit the audit event information.</w:t>
      </w:r>
    </w:p>
  </w:footnote>
  <w:footnote w:id="7">
    <w:p w:rsidR="00446C62" w:rsidRDefault="00446C62" w:rsidP="00446C62">
      <w:pPr>
        <w:pStyle w:val="FootnoteText"/>
        <w:rPr>
          <w:lang w:val="en-US"/>
        </w:rPr>
      </w:pPr>
      <w:r>
        <w:rPr>
          <w:rStyle w:val="FootnoteCharacters"/>
        </w:rPr>
        <w:footnoteRef/>
      </w:r>
      <w:r>
        <w:tab/>
        <w:t xml:space="preserve"> </w:t>
      </w:r>
      <w:r>
        <w:rPr>
          <w:lang w:val="en-US"/>
        </w:rPr>
        <w:t xml:space="preserve">See HL7 Composite Privacy Domain Analysis Model DSTU, December 9, 2009 – </w:t>
      </w:r>
      <w:proofErr w:type="spellStart"/>
      <w:r>
        <w:rPr>
          <w:lang w:val="en-US"/>
        </w:rPr>
        <w:t>pg</w:t>
      </w:r>
      <w:proofErr w:type="spellEnd"/>
      <w:r>
        <w:rPr>
          <w:lang w:val="en-US"/>
        </w:rPr>
        <w:t xml:space="preserve"> 56 – Accounting of Disclosures.</w:t>
      </w:r>
    </w:p>
  </w:footnote>
  <w:footnote w:id="8">
    <w:p w:rsidR="00163535" w:rsidRPr="00D94222" w:rsidRDefault="00163535" w:rsidP="00163535">
      <w:pPr>
        <w:pStyle w:val="FootnoteText"/>
        <w:rPr>
          <w:lang w:val="en-US"/>
        </w:rPr>
      </w:pPr>
      <w:r>
        <w:rPr>
          <w:rStyle w:val="FootnoteReference"/>
        </w:rPr>
        <w:footnoteRef/>
      </w:r>
      <w:r>
        <w:t xml:space="preserve"> HL7 PASS Healthcare Audit Control Services draft standard.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18"/>
    <w:multiLevelType w:val="multilevel"/>
    <w:tmpl w:val="28FA5EBE"/>
    <w:lvl w:ilvl="0">
      <w:start w:val="3"/>
      <w:numFmt w:val="upperLetter"/>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5B9A6D24"/>
    <w:multiLevelType w:val="hybridMultilevel"/>
    <w:tmpl w:val="7424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0531D8"/>
    <w:multiLevelType w:val="hybridMultilevel"/>
    <w:tmpl w:val="BB3A4C12"/>
    <w:lvl w:ilvl="0" w:tplc="AD90FE6E">
      <w:start w:val="1"/>
      <w:numFmt w:val="bullet"/>
      <w:lvlText w:val=""/>
      <w:lvlJc w:val="left"/>
      <w:pPr>
        <w:tabs>
          <w:tab w:val="num" w:pos="757"/>
        </w:tabs>
        <w:ind w:left="757" w:hanging="397"/>
      </w:pPr>
      <w:rPr>
        <w:rFonts w:ascii="Symbol" w:hAnsi="Symbol" w:hint="default"/>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57"/>
    <w:rsid w:val="00163535"/>
    <w:rsid w:val="00185A7E"/>
    <w:rsid w:val="00232421"/>
    <w:rsid w:val="004239E7"/>
    <w:rsid w:val="00437B2B"/>
    <w:rsid w:val="00446C62"/>
    <w:rsid w:val="0049223F"/>
    <w:rsid w:val="005341A6"/>
    <w:rsid w:val="005360A7"/>
    <w:rsid w:val="00743CD2"/>
    <w:rsid w:val="00785E04"/>
    <w:rsid w:val="00820193"/>
    <w:rsid w:val="0089355D"/>
    <w:rsid w:val="00A94057"/>
    <w:rsid w:val="00B01779"/>
    <w:rsid w:val="00B71862"/>
    <w:rsid w:val="00CC27E6"/>
    <w:rsid w:val="00D2649A"/>
    <w:rsid w:val="00D2733C"/>
    <w:rsid w:val="00D94222"/>
    <w:rsid w:val="00E05525"/>
    <w:rsid w:val="00E70BFC"/>
    <w:rsid w:val="00E76340"/>
    <w:rsid w:val="00F24B05"/>
    <w:rsid w:val="00F6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3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6C62"/>
    <w:pPr>
      <w:keepNext/>
      <w:widowControl w:val="0"/>
      <w:numPr>
        <w:ilvl w:val="1"/>
        <w:numId w:val="3"/>
      </w:numPr>
      <w:suppressAutoHyphens/>
      <w:spacing w:before="240" w:after="120" w:line="240" w:lineRule="auto"/>
      <w:outlineLvl w:val="1"/>
    </w:pPr>
    <w:rPr>
      <w:rFonts w:ascii="Arial" w:eastAsia="Times New Roman" w:hAnsi="Arial" w:cs="Times New Roman"/>
      <w:b/>
      <w:i/>
      <w:kern w:val="1"/>
      <w:sz w:val="28"/>
      <w:szCs w:val="28"/>
      <w:lang w:val="en-CA" w:eastAsia="ar-SA"/>
    </w:rPr>
  </w:style>
  <w:style w:type="paragraph" w:styleId="Heading3">
    <w:name w:val="heading 3"/>
    <w:basedOn w:val="Normal"/>
    <w:next w:val="Normal"/>
    <w:link w:val="Heading3Char"/>
    <w:qFormat/>
    <w:rsid w:val="00446C62"/>
    <w:pPr>
      <w:keepNext/>
      <w:widowControl w:val="0"/>
      <w:numPr>
        <w:ilvl w:val="2"/>
        <w:numId w:val="3"/>
      </w:numPr>
      <w:suppressAutoHyphens/>
      <w:spacing w:before="240" w:after="120" w:line="240" w:lineRule="auto"/>
      <w:outlineLvl w:val="2"/>
    </w:pPr>
    <w:rPr>
      <w:rFonts w:ascii="Arial" w:eastAsia="Times New Roman" w:hAnsi="Arial" w:cs="Times New Roman"/>
      <w:b/>
      <w:kern w:val="1"/>
      <w:sz w:val="24"/>
      <w:szCs w:val="28"/>
      <w:lang w:val="en-CA" w:eastAsia="ar-SA"/>
    </w:rPr>
  </w:style>
  <w:style w:type="paragraph" w:styleId="Heading4">
    <w:name w:val="heading 4"/>
    <w:basedOn w:val="Normal"/>
    <w:next w:val="Normal"/>
    <w:link w:val="Heading4Char"/>
    <w:qFormat/>
    <w:rsid w:val="00446C62"/>
    <w:pPr>
      <w:keepNext/>
      <w:widowControl w:val="0"/>
      <w:suppressAutoHyphens/>
      <w:spacing w:before="240" w:after="120" w:line="240" w:lineRule="auto"/>
      <w:outlineLvl w:val="3"/>
    </w:pPr>
    <w:rPr>
      <w:rFonts w:ascii="Arial" w:eastAsia="Times New Roman" w:hAnsi="Arial" w:cs="Times New Roman"/>
      <w:b/>
      <w:i/>
      <w:kern w:val="1"/>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55D"/>
    <w:rPr>
      <w:color w:val="0000FF" w:themeColor="hyperlink"/>
      <w:u w:val="single"/>
    </w:rPr>
  </w:style>
  <w:style w:type="paragraph" w:styleId="Title">
    <w:name w:val="Title"/>
    <w:basedOn w:val="Normal"/>
    <w:next w:val="Normal"/>
    <w:link w:val="TitleChar"/>
    <w:uiPriority w:val="10"/>
    <w:qFormat/>
    <w:rsid w:val="00820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19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BFC"/>
    <w:pPr>
      <w:spacing w:after="0" w:line="240" w:lineRule="auto"/>
      <w:ind w:left="720"/>
    </w:pPr>
    <w:rPr>
      <w:rFonts w:ascii="Calibri" w:hAnsi="Calibri" w:cs="Times New Roman"/>
    </w:rPr>
  </w:style>
  <w:style w:type="character" w:customStyle="1" w:styleId="Heading2Char">
    <w:name w:val="Heading 2 Char"/>
    <w:basedOn w:val="DefaultParagraphFont"/>
    <w:link w:val="Heading2"/>
    <w:rsid w:val="00446C62"/>
    <w:rPr>
      <w:rFonts w:ascii="Arial" w:eastAsia="Times New Roman" w:hAnsi="Arial" w:cs="Times New Roman"/>
      <w:b/>
      <w:i/>
      <w:kern w:val="1"/>
      <w:sz w:val="28"/>
      <w:szCs w:val="28"/>
      <w:lang w:val="en-CA" w:eastAsia="ar-SA"/>
    </w:rPr>
  </w:style>
  <w:style w:type="character" w:customStyle="1" w:styleId="Heading3Char">
    <w:name w:val="Heading 3 Char"/>
    <w:basedOn w:val="DefaultParagraphFont"/>
    <w:link w:val="Heading3"/>
    <w:rsid w:val="00446C62"/>
    <w:rPr>
      <w:rFonts w:ascii="Arial" w:eastAsia="Times New Roman" w:hAnsi="Arial" w:cs="Times New Roman"/>
      <w:b/>
      <w:kern w:val="1"/>
      <w:sz w:val="24"/>
      <w:szCs w:val="28"/>
      <w:lang w:val="en-CA" w:eastAsia="ar-SA"/>
    </w:rPr>
  </w:style>
  <w:style w:type="character" w:customStyle="1" w:styleId="Heading4Char">
    <w:name w:val="Heading 4 Char"/>
    <w:basedOn w:val="DefaultParagraphFont"/>
    <w:link w:val="Heading4"/>
    <w:rsid w:val="00446C62"/>
    <w:rPr>
      <w:rFonts w:ascii="Arial" w:eastAsia="Times New Roman" w:hAnsi="Arial" w:cs="Times New Roman"/>
      <w:b/>
      <w:i/>
      <w:kern w:val="1"/>
      <w:sz w:val="24"/>
      <w:szCs w:val="24"/>
      <w:lang w:val="en-CA" w:eastAsia="ar-SA"/>
    </w:rPr>
  </w:style>
  <w:style w:type="character" w:customStyle="1" w:styleId="FootnoteCharacters">
    <w:name w:val="Footnote Characters"/>
    <w:basedOn w:val="DefaultParagraphFont"/>
    <w:rsid w:val="00446C62"/>
    <w:rPr>
      <w:vertAlign w:val="superscript"/>
    </w:rPr>
  </w:style>
  <w:style w:type="paragraph" w:styleId="FootnoteText">
    <w:name w:val="footnote text"/>
    <w:basedOn w:val="Normal"/>
    <w:link w:val="FootnoteTextChar"/>
    <w:rsid w:val="00446C62"/>
    <w:pPr>
      <w:widowControl w:val="0"/>
      <w:suppressAutoHyphens/>
      <w:spacing w:after="120" w:line="240" w:lineRule="auto"/>
    </w:pPr>
    <w:rPr>
      <w:rFonts w:ascii="Arial" w:eastAsia="Times New Roman" w:hAnsi="Arial" w:cs="Times New Roman"/>
      <w:sz w:val="20"/>
      <w:szCs w:val="20"/>
      <w:lang w:val="en-CA" w:eastAsia="ar-SA"/>
    </w:rPr>
  </w:style>
  <w:style w:type="character" w:customStyle="1" w:styleId="FootnoteTextChar">
    <w:name w:val="Footnote Text Char"/>
    <w:basedOn w:val="DefaultParagraphFont"/>
    <w:link w:val="FootnoteText"/>
    <w:rsid w:val="00446C62"/>
    <w:rPr>
      <w:rFonts w:ascii="Arial" w:eastAsia="Times New Roman" w:hAnsi="Arial" w:cs="Times New Roman"/>
      <w:sz w:val="20"/>
      <w:szCs w:val="20"/>
      <w:lang w:val="en-CA" w:eastAsia="ar-SA"/>
    </w:rPr>
  </w:style>
  <w:style w:type="character" w:customStyle="1" w:styleId="Heading1Char">
    <w:name w:val="Heading 1 Char"/>
    <w:basedOn w:val="DefaultParagraphFont"/>
    <w:link w:val="Heading1"/>
    <w:uiPriority w:val="9"/>
    <w:rsid w:val="00E7634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7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40"/>
    <w:rPr>
      <w:rFonts w:ascii="Tahoma" w:hAnsi="Tahoma" w:cs="Tahoma"/>
      <w:sz w:val="16"/>
      <w:szCs w:val="16"/>
    </w:rPr>
  </w:style>
  <w:style w:type="character" w:styleId="FootnoteReference">
    <w:name w:val="footnote reference"/>
    <w:basedOn w:val="DefaultParagraphFont"/>
    <w:uiPriority w:val="99"/>
    <w:semiHidden/>
    <w:unhideWhenUsed/>
    <w:rsid w:val="00D273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3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6C62"/>
    <w:pPr>
      <w:keepNext/>
      <w:widowControl w:val="0"/>
      <w:numPr>
        <w:ilvl w:val="1"/>
        <w:numId w:val="3"/>
      </w:numPr>
      <w:suppressAutoHyphens/>
      <w:spacing w:before="240" w:after="120" w:line="240" w:lineRule="auto"/>
      <w:outlineLvl w:val="1"/>
    </w:pPr>
    <w:rPr>
      <w:rFonts w:ascii="Arial" w:eastAsia="Times New Roman" w:hAnsi="Arial" w:cs="Times New Roman"/>
      <w:b/>
      <w:i/>
      <w:kern w:val="1"/>
      <w:sz w:val="28"/>
      <w:szCs w:val="28"/>
      <w:lang w:val="en-CA" w:eastAsia="ar-SA"/>
    </w:rPr>
  </w:style>
  <w:style w:type="paragraph" w:styleId="Heading3">
    <w:name w:val="heading 3"/>
    <w:basedOn w:val="Normal"/>
    <w:next w:val="Normal"/>
    <w:link w:val="Heading3Char"/>
    <w:qFormat/>
    <w:rsid w:val="00446C62"/>
    <w:pPr>
      <w:keepNext/>
      <w:widowControl w:val="0"/>
      <w:numPr>
        <w:ilvl w:val="2"/>
        <w:numId w:val="3"/>
      </w:numPr>
      <w:suppressAutoHyphens/>
      <w:spacing w:before="240" w:after="120" w:line="240" w:lineRule="auto"/>
      <w:outlineLvl w:val="2"/>
    </w:pPr>
    <w:rPr>
      <w:rFonts w:ascii="Arial" w:eastAsia="Times New Roman" w:hAnsi="Arial" w:cs="Times New Roman"/>
      <w:b/>
      <w:kern w:val="1"/>
      <w:sz w:val="24"/>
      <w:szCs w:val="28"/>
      <w:lang w:val="en-CA" w:eastAsia="ar-SA"/>
    </w:rPr>
  </w:style>
  <w:style w:type="paragraph" w:styleId="Heading4">
    <w:name w:val="heading 4"/>
    <w:basedOn w:val="Normal"/>
    <w:next w:val="Normal"/>
    <w:link w:val="Heading4Char"/>
    <w:qFormat/>
    <w:rsid w:val="00446C62"/>
    <w:pPr>
      <w:keepNext/>
      <w:widowControl w:val="0"/>
      <w:suppressAutoHyphens/>
      <w:spacing w:before="240" w:after="120" w:line="240" w:lineRule="auto"/>
      <w:outlineLvl w:val="3"/>
    </w:pPr>
    <w:rPr>
      <w:rFonts w:ascii="Arial" w:eastAsia="Times New Roman" w:hAnsi="Arial" w:cs="Times New Roman"/>
      <w:b/>
      <w:i/>
      <w:kern w:val="1"/>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55D"/>
    <w:rPr>
      <w:color w:val="0000FF" w:themeColor="hyperlink"/>
      <w:u w:val="single"/>
    </w:rPr>
  </w:style>
  <w:style w:type="paragraph" w:styleId="Title">
    <w:name w:val="Title"/>
    <w:basedOn w:val="Normal"/>
    <w:next w:val="Normal"/>
    <w:link w:val="TitleChar"/>
    <w:uiPriority w:val="10"/>
    <w:qFormat/>
    <w:rsid w:val="00820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19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BFC"/>
    <w:pPr>
      <w:spacing w:after="0" w:line="240" w:lineRule="auto"/>
      <w:ind w:left="720"/>
    </w:pPr>
    <w:rPr>
      <w:rFonts w:ascii="Calibri" w:hAnsi="Calibri" w:cs="Times New Roman"/>
    </w:rPr>
  </w:style>
  <w:style w:type="character" w:customStyle="1" w:styleId="Heading2Char">
    <w:name w:val="Heading 2 Char"/>
    <w:basedOn w:val="DefaultParagraphFont"/>
    <w:link w:val="Heading2"/>
    <w:rsid w:val="00446C62"/>
    <w:rPr>
      <w:rFonts w:ascii="Arial" w:eastAsia="Times New Roman" w:hAnsi="Arial" w:cs="Times New Roman"/>
      <w:b/>
      <w:i/>
      <w:kern w:val="1"/>
      <w:sz w:val="28"/>
      <w:szCs w:val="28"/>
      <w:lang w:val="en-CA" w:eastAsia="ar-SA"/>
    </w:rPr>
  </w:style>
  <w:style w:type="character" w:customStyle="1" w:styleId="Heading3Char">
    <w:name w:val="Heading 3 Char"/>
    <w:basedOn w:val="DefaultParagraphFont"/>
    <w:link w:val="Heading3"/>
    <w:rsid w:val="00446C62"/>
    <w:rPr>
      <w:rFonts w:ascii="Arial" w:eastAsia="Times New Roman" w:hAnsi="Arial" w:cs="Times New Roman"/>
      <w:b/>
      <w:kern w:val="1"/>
      <w:sz w:val="24"/>
      <w:szCs w:val="28"/>
      <w:lang w:val="en-CA" w:eastAsia="ar-SA"/>
    </w:rPr>
  </w:style>
  <w:style w:type="character" w:customStyle="1" w:styleId="Heading4Char">
    <w:name w:val="Heading 4 Char"/>
    <w:basedOn w:val="DefaultParagraphFont"/>
    <w:link w:val="Heading4"/>
    <w:rsid w:val="00446C62"/>
    <w:rPr>
      <w:rFonts w:ascii="Arial" w:eastAsia="Times New Roman" w:hAnsi="Arial" w:cs="Times New Roman"/>
      <w:b/>
      <w:i/>
      <w:kern w:val="1"/>
      <w:sz w:val="24"/>
      <w:szCs w:val="24"/>
      <w:lang w:val="en-CA" w:eastAsia="ar-SA"/>
    </w:rPr>
  </w:style>
  <w:style w:type="character" w:customStyle="1" w:styleId="FootnoteCharacters">
    <w:name w:val="Footnote Characters"/>
    <w:basedOn w:val="DefaultParagraphFont"/>
    <w:rsid w:val="00446C62"/>
    <w:rPr>
      <w:vertAlign w:val="superscript"/>
    </w:rPr>
  </w:style>
  <w:style w:type="paragraph" w:styleId="FootnoteText">
    <w:name w:val="footnote text"/>
    <w:basedOn w:val="Normal"/>
    <w:link w:val="FootnoteTextChar"/>
    <w:rsid w:val="00446C62"/>
    <w:pPr>
      <w:widowControl w:val="0"/>
      <w:suppressAutoHyphens/>
      <w:spacing w:after="120" w:line="240" w:lineRule="auto"/>
    </w:pPr>
    <w:rPr>
      <w:rFonts w:ascii="Arial" w:eastAsia="Times New Roman" w:hAnsi="Arial" w:cs="Times New Roman"/>
      <w:sz w:val="20"/>
      <w:szCs w:val="20"/>
      <w:lang w:val="en-CA" w:eastAsia="ar-SA"/>
    </w:rPr>
  </w:style>
  <w:style w:type="character" w:customStyle="1" w:styleId="FootnoteTextChar">
    <w:name w:val="Footnote Text Char"/>
    <w:basedOn w:val="DefaultParagraphFont"/>
    <w:link w:val="FootnoteText"/>
    <w:rsid w:val="00446C62"/>
    <w:rPr>
      <w:rFonts w:ascii="Arial" w:eastAsia="Times New Roman" w:hAnsi="Arial" w:cs="Times New Roman"/>
      <w:sz w:val="20"/>
      <w:szCs w:val="20"/>
      <w:lang w:val="en-CA" w:eastAsia="ar-SA"/>
    </w:rPr>
  </w:style>
  <w:style w:type="character" w:customStyle="1" w:styleId="Heading1Char">
    <w:name w:val="Heading 1 Char"/>
    <w:basedOn w:val="DefaultParagraphFont"/>
    <w:link w:val="Heading1"/>
    <w:uiPriority w:val="9"/>
    <w:rsid w:val="00E7634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7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40"/>
    <w:rPr>
      <w:rFonts w:ascii="Tahoma" w:hAnsi="Tahoma" w:cs="Tahoma"/>
      <w:sz w:val="16"/>
      <w:szCs w:val="16"/>
    </w:rPr>
  </w:style>
  <w:style w:type="character" w:styleId="FootnoteReference">
    <w:name w:val="footnote reference"/>
    <w:basedOn w:val="DefaultParagraphFont"/>
    <w:uiPriority w:val="99"/>
    <w:semiHidden/>
    <w:unhideWhenUsed/>
    <w:rsid w:val="00D27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B634-5179-4BC3-A1F1-49FA88BE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4</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12</cp:revision>
  <dcterms:created xsi:type="dcterms:W3CDTF">2016-04-28T18:16:00Z</dcterms:created>
  <dcterms:modified xsi:type="dcterms:W3CDTF">2016-05-05T20:28:00Z</dcterms:modified>
</cp:coreProperties>
</file>