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HL7 Patient Care Work Group</w:t>
      </w:r>
    </w:p>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 xml:space="preserve"> Allergy/Intolerance/Adverse Reaction Topic Sub-Group</w:t>
      </w:r>
    </w:p>
    <w:p w:rsidR="00B33436" w:rsidRPr="00B3681C" w:rsidRDefault="00B33436" w:rsidP="00B3681C">
      <w:pPr>
        <w:spacing w:after="0" w:line="240" w:lineRule="auto"/>
        <w:rPr>
          <w:b/>
        </w:rPr>
      </w:pPr>
    </w:p>
    <w:p w:rsidR="00B3681C" w:rsidRPr="00C21A25" w:rsidRDefault="002D6278" w:rsidP="00B3681C">
      <w:pPr>
        <w:spacing w:after="0" w:line="240" w:lineRule="auto"/>
        <w:jc w:val="center"/>
        <w:rPr>
          <w:b/>
          <w:sz w:val="32"/>
        </w:rPr>
      </w:pPr>
      <w:r w:rsidRPr="00C21A25">
        <w:rPr>
          <w:b/>
          <w:sz w:val="32"/>
        </w:rPr>
        <w:t xml:space="preserve">Immunization </w:t>
      </w:r>
      <w:proofErr w:type="gramStart"/>
      <w:r w:rsidRPr="00C21A25">
        <w:rPr>
          <w:b/>
          <w:sz w:val="32"/>
        </w:rPr>
        <w:t>Under</w:t>
      </w:r>
      <w:proofErr w:type="gramEnd"/>
      <w:r w:rsidRPr="00C21A25">
        <w:rPr>
          <w:b/>
          <w:sz w:val="32"/>
        </w:rPr>
        <w:t xml:space="preserve"> Allergic Conditions Use C</w:t>
      </w:r>
      <w:r w:rsidR="00B3681C" w:rsidRPr="00C21A25">
        <w:rPr>
          <w:b/>
          <w:sz w:val="32"/>
        </w:rPr>
        <w:t>ase</w:t>
      </w:r>
      <w:r w:rsidR="00C21A25" w:rsidRPr="00C21A25">
        <w:rPr>
          <w:b/>
          <w:sz w:val="32"/>
        </w:rPr>
        <w:t xml:space="preserve"> </w:t>
      </w:r>
    </w:p>
    <w:p w:rsidR="006E152A" w:rsidRPr="004E45A4" w:rsidRDefault="006E152A" w:rsidP="006E152A">
      <w:pPr>
        <w:spacing w:after="0" w:line="240" w:lineRule="auto"/>
        <w:rPr>
          <w:b/>
        </w:rPr>
      </w:pPr>
      <w:r w:rsidRPr="004E45A4">
        <w:rPr>
          <w:b/>
        </w:rPr>
        <w:t>Use Case Description</w:t>
      </w:r>
    </w:p>
    <w:p w:rsidR="00375C9C" w:rsidRDefault="006E152A" w:rsidP="006E152A">
      <w:pPr>
        <w:spacing w:after="0" w:line="240" w:lineRule="auto"/>
        <w:ind w:left="360"/>
      </w:pPr>
      <w:r>
        <w:t xml:space="preserve">The purpose of this use case is to illustrate the case where a </w:t>
      </w:r>
      <w:r w:rsidR="00375C9C">
        <w:t xml:space="preserve">young </w:t>
      </w:r>
      <w:r>
        <w:t xml:space="preserve">patient </w:t>
      </w:r>
      <w:r w:rsidR="00375C9C">
        <w:t xml:space="preserve">has to receive a vaccine for yellow fever before going to Africa with his parents. The young patient is known to have </w:t>
      </w:r>
      <w:r w:rsidR="00C21A25">
        <w:t>allergic</w:t>
      </w:r>
      <w:r w:rsidR="00375C9C">
        <w:t xml:space="preserve"> sensitivity to </w:t>
      </w:r>
      <w:r w:rsidR="00B80682">
        <w:t>eggs</w:t>
      </w:r>
      <w:r w:rsidR="00375C9C">
        <w:t>.</w:t>
      </w:r>
      <w:r w:rsidR="00B80682">
        <w:t xml:space="preserve"> After successful immunization, a report is sent to his pediatrician </w:t>
      </w:r>
      <w:r w:rsidR="00C21A25">
        <w:t>with a suggestion that</w:t>
      </w:r>
      <w:r w:rsidR="00B80682">
        <w:t xml:space="preserve"> a referral is </w:t>
      </w:r>
      <w:r w:rsidR="00C21A25">
        <w:t xml:space="preserve">be </w:t>
      </w:r>
      <w:r w:rsidR="00B80682">
        <w:t xml:space="preserve">made </w:t>
      </w:r>
      <w:r w:rsidR="00C21A25">
        <w:t xml:space="preserve">to </w:t>
      </w:r>
      <w:r w:rsidR="00B80682">
        <w:t>an allergist</w:t>
      </w:r>
      <w:r w:rsidR="00C21A25">
        <w:t xml:space="preserve"> for further testing</w:t>
      </w:r>
      <w:r w:rsidR="00B80682">
        <w:t>.</w:t>
      </w:r>
    </w:p>
    <w:p w:rsidR="006E152A" w:rsidRDefault="006E152A" w:rsidP="006E152A">
      <w:pPr>
        <w:spacing w:after="0" w:line="240" w:lineRule="auto"/>
        <w:ind w:left="360"/>
      </w:pPr>
    </w:p>
    <w:p w:rsidR="006E152A" w:rsidRPr="004E45A4" w:rsidRDefault="006E152A" w:rsidP="006E152A">
      <w:pPr>
        <w:spacing w:after="0" w:line="240" w:lineRule="auto"/>
        <w:rPr>
          <w:b/>
        </w:rPr>
      </w:pPr>
      <w:r w:rsidRPr="004E45A4">
        <w:rPr>
          <w:b/>
        </w:rPr>
        <w:t>Conditions</w:t>
      </w:r>
    </w:p>
    <w:p w:rsidR="006E152A" w:rsidRDefault="00375C9C" w:rsidP="006E152A">
      <w:pPr>
        <w:spacing w:after="0" w:line="240" w:lineRule="auto"/>
        <w:ind w:left="360"/>
      </w:pPr>
      <w:r>
        <w:t xml:space="preserve">A child allergic to eggs must undergo yellow fever immunization under medical </w:t>
      </w:r>
      <w:r w:rsidR="002D6278">
        <w:t>supervision</w:t>
      </w:r>
      <w:r>
        <w:t xml:space="preserve">. </w:t>
      </w:r>
    </w:p>
    <w:p w:rsidR="002D6278" w:rsidRDefault="002D6278" w:rsidP="006E152A">
      <w:pPr>
        <w:spacing w:after="0" w:line="240" w:lineRule="auto"/>
        <w:ind w:left="360"/>
      </w:pPr>
    </w:p>
    <w:p w:rsidR="006E152A" w:rsidRPr="004E45A4" w:rsidRDefault="006E152A" w:rsidP="006E152A">
      <w:pPr>
        <w:spacing w:after="0" w:line="240" w:lineRule="auto"/>
        <w:rPr>
          <w:b/>
        </w:rPr>
      </w:pPr>
      <w:r w:rsidRPr="004E45A4">
        <w:rPr>
          <w:b/>
        </w:rPr>
        <w:t>Exclusions</w:t>
      </w:r>
    </w:p>
    <w:p w:rsidR="00375C9C" w:rsidRDefault="00375C9C" w:rsidP="00375C9C">
      <w:pPr>
        <w:spacing w:after="0" w:line="240" w:lineRule="auto"/>
        <w:ind w:left="360"/>
      </w:pPr>
      <w:proofErr w:type="gramStart"/>
      <w:r>
        <w:t>Patient conditions which are not relevant to allergy/intolerance or adverse reaction topics.</w:t>
      </w:r>
      <w:proofErr w:type="gramEnd"/>
    </w:p>
    <w:p w:rsidR="002D6278" w:rsidRDefault="002D6278" w:rsidP="00375C9C">
      <w:pPr>
        <w:spacing w:after="0" w:line="240" w:lineRule="auto"/>
        <w:ind w:left="360"/>
      </w:pPr>
    </w:p>
    <w:p w:rsidR="006E152A" w:rsidRPr="004E45A4" w:rsidRDefault="006E152A" w:rsidP="006E152A">
      <w:pPr>
        <w:spacing w:after="0" w:line="240" w:lineRule="auto"/>
        <w:rPr>
          <w:b/>
        </w:rPr>
      </w:pPr>
      <w:r w:rsidRPr="004E45A4">
        <w:rPr>
          <w:b/>
        </w:rPr>
        <w:t>Preconditions</w:t>
      </w:r>
    </w:p>
    <w:p w:rsidR="006E152A" w:rsidRDefault="00375C9C" w:rsidP="006E152A">
      <w:pPr>
        <w:spacing w:after="0" w:line="240" w:lineRule="auto"/>
        <w:ind w:left="360"/>
      </w:pPr>
      <w:r>
        <w:t xml:space="preserve">Patient is brought to a travel clinic for </w:t>
      </w:r>
      <w:r w:rsidR="00E8000E">
        <w:t>the appropriate</w:t>
      </w:r>
      <w:r>
        <w:t xml:space="preserve"> </w:t>
      </w:r>
      <w:r w:rsidR="00B80682">
        <w:t xml:space="preserve">yellow fever </w:t>
      </w:r>
      <w:r>
        <w:t>immunization</w:t>
      </w:r>
      <w:r w:rsidR="00E8000E">
        <w:t xml:space="preserve"> before traveling to Africa with parents</w:t>
      </w:r>
      <w:r>
        <w:t xml:space="preserve">. Mother </w:t>
      </w:r>
      <w:r w:rsidR="002D6278">
        <w:t xml:space="preserve">has with her the </w:t>
      </w:r>
      <w:r>
        <w:t xml:space="preserve">medical record summary </w:t>
      </w:r>
      <w:r w:rsidR="002D6278">
        <w:t xml:space="preserve">of her child </w:t>
      </w:r>
      <w:r>
        <w:t xml:space="preserve">indicating </w:t>
      </w:r>
      <w:r w:rsidR="00C21A25">
        <w:t>allergy</w:t>
      </w:r>
      <w:r>
        <w:t xml:space="preserve"> to eggs.</w:t>
      </w:r>
      <w:r w:rsidR="001B4C70">
        <w:t xml:space="preserve">  No prior reaction to usual childhood vaccines.  </w:t>
      </w:r>
    </w:p>
    <w:p w:rsidR="006E152A" w:rsidRDefault="006E152A" w:rsidP="006E152A">
      <w:pPr>
        <w:spacing w:after="0" w:line="240" w:lineRule="auto"/>
        <w:ind w:left="360"/>
      </w:pPr>
    </w:p>
    <w:p w:rsidR="006E152A" w:rsidRPr="006B0DF7" w:rsidRDefault="006E152A" w:rsidP="006E152A">
      <w:pPr>
        <w:spacing w:after="0" w:line="240" w:lineRule="auto"/>
      </w:pPr>
      <w:r w:rsidRPr="004E45A4">
        <w:rPr>
          <w:b/>
        </w:rPr>
        <w:t>Sequence of Steps</w:t>
      </w:r>
    </w:p>
    <w:p w:rsidR="006E152A" w:rsidRDefault="00640AB8" w:rsidP="00640AB8">
      <w:pPr>
        <w:pStyle w:val="ListParagraph"/>
        <w:numPr>
          <w:ilvl w:val="0"/>
          <w:numId w:val="18"/>
        </w:numPr>
        <w:spacing w:after="0" w:line="240" w:lineRule="auto"/>
      </w:pPr>
      <w:r>
        <w:t xml:space="preserve">Mother arrives at travel </w:t>
      </w:r>
      <w:r w:rsidR="00B80682">
        <w:t xml:space="preserve">clinic with </w:t>
      </w:r>
      <w:r w:rsidR="008E0E9D">
        <w:t xml:space="preserve">her </w:t>
      </w:r>
      <w:r w:rsidR="00B80682">
        <w:t xml:space="preserve">child </w:t>
      </w:r>
      <w:r w:rsidR="008E0E9D">
        <w:t xml:space="preserve">who is </w:t>
      </w:r>
      <w:r w:rsidR="00B80682">
        <w:t xml:space="preserve">8 </w:t>
      </w:r>
      <w:r>
        <w:t>years old</w:t>
      </w:r>
    </w:p>
    <w:p w:rsidR="00640AB8" w:rsidRDefault="00640AB8" w:rsidP="00640AB8">
      <w:pPr>
        <w:pStyle w:val="ListParagraph"/>
        <w:numPr>
          <w:ilvl w:val="0"/>
          <w:numId w:val="18"/>
        </w:numPr>
        <w:spacing w:after="0" w:line="240" w:lineRule="auto"/>
      </w:pPr>
      <w:r>
        <w:t>Nurse review medical history of child and refers patient to attending immunization specialist physician</w:t>
      </w:r>
    </w:p>
    <w:p w:rsidR="00640AB8" w:rsidRDefault="00640AB8" w:rsidP="00640AB8">
      <w:pPr>
        <w:pStyle w:val="ListParagraph"/>
        <w:numPr>
          <w:ilvl w:val="0"/>
          <w:numId w:val="18"/>
        </w:numPr>
        <w:spacing w:after="0" w:line="240" w:lineRule="auto"/>
      </w:pPr>
      <w:r>
        <w:t>Physician conduct case history and decides to administer vaccine under his personal supervision</w:t>
      </w:r>
    </w:p>
    <w:p w:rsidR="00640AB8" w:rsidRDefault="00BD691F" w:rsidP="00640AB8">
      <w:pPr>
        <w:pStyle w:val="ListParagraph"/>
        <w:numPr>
          <w:ilvl w:val="0"/>
          <w:numId w:val="18"/>
        </w:numPr>
        <w:spacing w:after="0" w:line="240" w:lineRule="auto"/>
      </w:pPr>
      <w:r>
        <w:t>Physician assisted by nurse administer yellow fever vaccine, constantly monitoring patient reactions, ready to intervene with proper medication if necessary</w:t>
      </w:r>
    </w:p>
    <w:p w:rsidR="00BD691F" w:rsidRDefault="00BD691F" w:rsidP="00640AB8">
      <w:pPr>
        <w:pStyle w:val="ListParagraph"/>
        <w:numPr>
          <w:ilvl w:val="0"/>
          <w:numId w:val="18"/>
        </w:numPr>
        <w:spacing w:after="0" w:line="240" w:lineRule="auto"/>
      </w:pPr>
      <w:r>
        <w:t>Nurse monitors patient for a period of time until assured of lack of adverse reactions</w:t>
      </w:r>
      <w:r w:rsidR="002C4E4C">
        <w:t xml:space="preserve"> for one hour.</w:t>
      </w:r>
    </w:p>
    <w:p w:rsidR="00BD691F" w:rsidRDefault="00BD691F" w:rsidP="00640AB8">
      <w:pPr>
        <w:pStyle w:val="ListParagraph"/>
        <w:numPr>
          <w:ilvl w:val="0"/>
          <w:numId w:val="18"/>
        </w:numPr>
        <w:spacing w:after="0" w:line="240" w:lineRule="auto"/>
      </w:pPr>
      <w:r>
        <w:t>Physician writes a consult note for the patient pediatrician</w:t>
      </w:r>
      <w:r w:rsidR="00B80682">
        <w:t xml:space="preserve">, </w:t>
      </w:r>
      <w:r>
        <w:t>adds a note to the patient summary record</w:t>
      </w:r>
      <w:r w:rsidR="00B80682">
        <w:t>, and signs the International Certificate</w:t>
      </w:r>
      <w:r w:rsidR="00B80682" w:rsidRPr="00DB58C5">
        <w:t xml:space="preserve"> of Vaccination</w:t>
      </w:r>
    </w:p>
    <w:p w:rsidR="001B4C70" w:rsidRDefault="001B4C70" w:rsidP="00640AB8">
      <w:pPr>
        <w:pStyle w:val="ListParagraph"/>
        <w:numPr>
          <w:ilvl w:val="0"/>
          <w:numId w:val="18"/>
        </w:numPr>
        <w:spacing w:after="0" w:line="240" w:lineRule="auto"/>
      </w:pPr>
      <w:r>
        <w:t>Physician documents in the medical record the administration of the vaccine, the known contraindication and the decision/rationale to provide the vaccination.</w:t>
      </w:r>
    </w:p>
    <w:p w:rsidR="006E152A" w:rsidRDefault="006E152A" w:rsidP="006E152A">
      <w:pPr>
        <w:spacing w:after="0" w:line="240" w:lineRule="auto"/>
        <w:ind w:left="360"/>
      </w:pPr>
    </w:p>
    <w:p w:rsidR="006E152A" w:rsidRPr="004E45A4" w:rsidRDefault="006E152A" w:rsidP="006E152A">
      <w:pPr>
        <w:spacing w:after="0" w:line="240" w:lineRule="auto"/>
        <w:rPr>
          <w:b/>
        </w:rPr>
      </w:pPr>
      <w:r w:rsidRPr="004E45A4">
        <w:rPr>
          <w:b/>
        </w:rPr>
        <w:t>Post Conditions</w:t>
      </w:r>
    </w:p>
    <w:p w:rsidR="00BD691F" w:rsidRDefault="00BD691F" w:rsidP="006E152A">
      <w:pPr>
        <w:spacing w:after="0" w:line="240" w:lineRule="auto"/>
        <w:ind w:left="360"/>
      </w:pPr>
      <w:r>
        <w:t>Patient has received the vaccine and has been released without adverse reaction</w:t>
      </w:r>
      <w:r w:rsidR="00C21A25">
        <w:t>.</w:t>
      </w:r>
    </w:p>
    <w:p w:rsidR="006E152A" w:rsidRDefault="00C21A25" w:rsidP="006E152A">
      <w:pPr>
        <w:spacing w:after="0" w:line="240" w:lineRule="auto"/>
        <w:ind w:left="360"/>
      </w:pPr>
      <w:proofErr w:type="gramStart"/>
      <w:r>
        <w:t>Updated patient summary record.</w:t>
      </w:r>
      <w:proofErr w:type="gramEnd"/>
    </w:p>
    <w:p w:rsidR="00DB58C5" w:rsidRDefault="00DB58C5" w:rsidP="006E152A">
      <w:pPr>
        <w:spacing w:after="0" w:line="240" w:lineRule="auto"/>
        <w:ind w:left="360"/>
      </w:pPr>
      <w:r>
        <w:t>International Certificate</w:t>
      </w:r>
      <w:r w:rsidRPr="00DB58C5">
        <w:t xml:space="preserve"> of Vaccination</w:t>
      </w:r>
      <w:r>
        <w:t xml:space="preserve"> filled and signed</w:t>
      </w:r>
      <w:r w:rsidR="00C21A25">
        <w:t>.</w:t>
      </w:r>
    </w:p>
    <w:p w:rsidR="006E152A" w:rsidRDefault="006E152A" w:rsidP="006E152A">
      <w:pPr>
        <w:spacing w:after="0" w:line="240" w:lineRule="auto"/>
        <w:ind w:left="360"/>
      </w:pPr>
    </w:p>
    <w:p w:rsidR="006E152A" w:rsidRPr="004E45A4" w:rsidRDefault="006E152A" w:rsidP="006E152A">
      <w:pPr>
        <w:spacing w:after="0" w:line="240" w:lineRule="auto"/>
        <w:rPr>
          <w:b/>
        </w:rPr>
      </w:pPr>
      <w:r w:rsidRPr="004E45A4">
        <w:rPr>
          <w:b/>
        </w:rPr>
        <w:t>Use Case Scenarios</w:t>
      </w:r>
    </w:p>
    <w:p w:rsidR="006E152A" w:rsidRDefault="00BD691F" w:rsidP="006E152A">
      <w:pPr>
        <w:spacing w:after="0" w:line="240" w:lineRule="auto"/>
        <w:ind w:left="360"/>
      </w:pPr>
      <w:r>
        <w:t>An 8 year old boy with mother requesting yellow fever vaccine</w:t>
      </w:r>
    </w:p>
    <w:p w:rsidR="00314BA4" w:rsidRDefault="00314BA4" w:rsidP="006E152A">
      <w:pPr>
        <w:spacing w:after="0" w:line="240" w:lineRule="auto"/>
        <w:ind w:left="360"/>
      </w:pPr>
    </w:p>
    <w:p w:rsidR="00BD691F" w:rsidRDefault="00BD691F" w:rsidP="00BD691F">
      <w:pPr>
        <w:spacing w:after="0" w:line="240" w:lineRule="auto"/>
        <w:ind w:left="360"/>
        <w:rPr>
          <w:rFonts w:ascii="Arial" w:hAnsi="Arial" w:cs="Arial"/>
          <w:color w:val="000000"/>
          <w:sz w:val="20"/>
          <w:szCs w:val="20"/>
        </w:rPr>
      </w:pPr>
      <w:r w:rsidRPr="00FB4CAC">
        <w:rPr>
          <w:rFonts w:ascii="Arial" w:hAnsi="Arial" w:cs="Arial"/>
          <w:i/>
          <w:color w:val="000000"/>
          <w:sz w:val="20"/>
          <w:szCs w:val="20"/>
          <w:u w:val="single"/>
        </w:rPr>
        <w:t>Medical History</w:t>
      </w:r>
      <w:r>
        <w:rPr>
          <w:rFonts w:ascii="Arial" w:hAnsi="Arial" w:cs="Arial"/>
          <w:color w:val="000000"/>
          <w:sz w:val="20"/>
          <w:szCs w:val="20"/>
        </w:rPr>
        <w:t>:</w:t>
      </w:r>
    </w:p>
    <w:p w:rsidR="00357281" w:rsidRDefault="00F30EF9" w:rsidP="006E152A">
      <w:pPr>
        <w:spacing w:after="0" w:line="240" w:lineRule="auto"/>
        <w:ind w:left="360"/>
      </w:pPr>
      <w:r>
        <w:t>Previous adverse reaction to eggs that required emergency medical intervention</w:t>
      </w:r>
      <w:r w:rsidR="00C21A25">
        <w:t xml:space="preserve"> </w:t>
      </w:r>
      <w:r w:rsidR="007120E0">
        <w:t xml:space="preserve">and hospitalization </w:t>
      </w:r>
    </w:p>
    <w:p w:rsidR="007120E0" w:rsidRPr="007120E0" w:rsidRDefault="007120E0" w:rsidP="006E152A">
      <w:pPr>
        <w:spacing w:after="0" w:line="240" w:lineRule="auto"/>
        <w:ind w:left="360"/>
      </w:pPr>
      <w:r w:rsidRPr="007120E0">
        <w:t xml:space="preserve">Route of exposure: </w:t>
      </w:r>
      <w:r>
        <w:t>food ingestion</w:t>
      </w:r>
    </w:p>
    <w:p w:rsidR="007120E0" w:rsidRPr="007120E0" w:rsidRDefault="007120E0" w:rsidP="006E152A">
      <w:pPr>
        <w:spacing w:after="0" w:line="240" w:lineRule="auto"/>
        <w:ind w:left="360"/>
      </w:pPr>
      <w:r w:rsidRPr="007120E0">
        <w:t xml:space="preserve">Severity of symptoms: </w:t>
      </w:r>
      <w:r w:rsidR="00314BA4">
        <w:t xml:space="preserve"> see note below</w:t>
      </w:r>
    </w:p>
    <w:p w:rsidR="007120E0" w:rsidRPr="007120E0" w:rsidRDefault="007120E0" w:rsidP="006E152A">
      <w:pPr>
        <w:spacing w:after="0" w:line="240" w:lineRule="auto"/>
        <w:ind w:left="360"/>
      </w:pPr>
      <w:r w:rsidRPr="007120E0">
        <w:t xml:space="preserve">Type of reaction:  </w:t>
      </w:r>
      <w:r w:rsidR="00314BA4">
        <w:t>hyper-sensitivity symptoms (</w:t>
      </w:r>
      <w:proofErr w:type="spellStart"/>
      <w:r w:rsidR="00314BA4">
        <w:t>urticaria</w:t>
      </w:r>
      <w:proofErr w:type="spellEnd"/>
      <w:r w:rsidR="00314BA4">
        <w:t>, swelling of the mouth and throat, difficulty breathing)</w:t>
      </w:r>
    </w:p>
    <w:p w:rsidR="007120E0" w:rsidRPr="007120E0" w:rsidRDefault="007120E0" w:rsidP="006E152A">
      <w:pPr>
        <w:spacing w:after="0" w:line="240" w:lineRule="auto"/>
        <w:ind w:left="360"/>
      </w:pPr>
      <w:r w:rsidRPr="007120E0">
        <w:t xml:space="preserve">Age: </w:t>
      </w:r>
      <w:r w:rsidR="00314BA4">
        <w:t>child was 2</w:t>
      </w:r>
      <w:r>
        <w:t xml:space="preserve"> year old</w:t>
      </w:r>
    </w:p>
    <w:p w:rsidR="007120E0" w:rsidRPr="007120E0" w:rsidRDefault="007120E0" w:rsidP="006E152A">
      <w:pPr>
        <w:spacing w:after="0" w:line="240" w:lineRule="auto"/>
        <w:ind w:left="360"/>
      </w:pPr>
      <w:r w:rsidRPr="007120E0">
        <w:t>Time after exposure before onset of symptoms</w:t>
      </w:r>
      <w:r w:rsidR="00314BA4">
        <w:t xml:space="preserve">: </w:t>
      </w:r>
      <w:r w:rsidR="006B10A9">
        <w:t>symptoms began during meal after a few bites of scrambled eggs</w:t>
      </w:r>
    </w:p>
    <w:p w:rsidR="00BD691F" w:rsidRDefault="007120E0" w:rsidP="006E152A">
      <w:pPr>
        <w:spacing w:after="0" w:line="240" w:lineRule="auto"/>
        <w:ind w:left="360"/>
      </w:pPr>
      <w:r w:rsidRPr="007120E0">
        <w:t>R</w:t>
      </w:r>
      <w:r>
        <w:t xml:space="preserve">esolution: </w:t>
      </w:r>
      <w:r w:rsidR="006B10A9">
        <w:t>all symptoms resolved during a 24 hour hospitalization with no apparent residual</w:t>
      </w:r>
    </w:p>
    <w:p w:rsidR="00C77CA3" w:rsidRDefault="00C77CA3" w:rsidP="006E152A">
      <w:pPr>
        <w:spacing w:after="0" w:line="240" w:lineRule="auto"/>
        <w:ind w:left="360"/>
      </w:pPr>
      <w:r>
        <w:t>Other allergic or intolerance history: none</w:t>
      </w:r>
    </w:p>
    <w:p w:rsidR="007120E0" w:rsidRDefault="007120E0" w:rsidP="006E152A">
      <w:pPr>
        <w:spacing w:after="0" w:line="240" w:lineRule="auto"/>
        <w:ind w:left="360"/>
      </w:pPr>
    </w:p>
    <w:p w:rsidR="00314BA4" w:rsidRPr="00314BA4" w:rsidRDefault="00314BA4" w:rsidP="00314BA4">
      <w:pPr>
        <w:spacing w:after="0" w:line="240" w:lineRule="auto"/>
        <w:ind w:left="360"/>
        <w:rPr>
          <w:i/>
        </w:rPr>
      </w:pPr>
      <w:r w:rsidRPr="00314BA4">
        <w:rPr>
          <w:i/>
        </w:rPr>
        <w:t xml:space="preserve">Note: egg allergy is defined as an </w:t>
      </w:r>
      <w:proofErr w:type="spellStart"/>
      <w:r w:rsidRPr="00314BA4">
        <w:rPr>
          <w:i/>
        </w:rPr>
        <w:t>IgE</w:t>
      </w:r>
      <w:proofErr w:type="spellEnd"/>
      <w:r w:rsidRPr="00314BA4">
        <w:rPr>
          <w:i/>
        </w:rPr>
        <w:t xml:space="preserve">-mediated hyper-sensitivity causing symptoms like, but not limited to, </w:t>
      </w:r>
      <w:proofErr w:type="spellStart"/>
      <w:r w:rsidRPr="00314BA4">
        <w:rPr>
          <w:i/>
        </w:rPr>
        <w:t>urticaria</w:t>
      </w:r>
      <w:proofErr w:type="spellEnd"/>
      <w:r w:rsidRPr="00314BA4">
        <w:rPr>
          <w:i/>
        </w:rPr>
        <w:t>, swelling of the mouth and throat, difficulty breathing or hypotension. (CIG, p. 85)</w:t>
      </w:r>
    </w:p>
    <w:p w:rsidR="00314BA4" w:rsidRDefault="00314BA4" w:rsidP="00314BA4">
      <w:pPr>
        <w:spacing w:after="0" w:line="240" w:lineRule="auto"/>
        <w:ind w:left="360"/>
      </w:pPr>
    </w:p>
    <w:p w:rsidR="00BD691F" w:rsidRPr="00F30EF9" w:rsidRDefault="00F30EF9" w:rsidP="006E152A">
      <w:pPr>
        <w:spacing w:after="0" w:line="240" w:lineRule="auto"/>
        <w:ind w:left="360"/>
        <w:rPr>
          <w:i/>
          <w:u w:val="single"/>
        </w:rPr>
      </w:pPr>
      <w:r w:rsidRPr="00F30EF9">
        <w:rPr>
          <w:i/>
          <w:u w:val="single"/>
        </w:rPr>
        <w:t>Vaccine</w:t>
      </w:r>
    </w:p>
    <w:p w:rsidR="00314BA4" w:rsidRDefault="00314BA4" w:rsidP="00D9596F">
      <w:pPr>
        <w:spacing w:after="0" w:line="240" w:lineRule="auto"/>
        <w:ind w:left="360"/>
      </w:pPr>
      <w:r>
        <w:t>YF-VAX®</w:t>
      </w:r>
    </w:p>
    <w:p w:rsidR="00314BA4" w:rsidRDefault="00314BA4" w:rsidP="00D9596F">
      <w:pPr>
        <w:spacing w:after="0" w:line="240" w:lineRule="auto"/>
        <w:ind w:left="360"/>
      </w:pPr>
    </w:p>
    <w:p w:rsidR="00F30EF9" w:rsidRPr="00314BA4" w:rsidRDefault="00314BA4" w:rsidP="00D9596F">
      <w:pPr>
        <w:spacing w:after="0" w:line="240" w:lineRule="auto"/>
        <w:ind w:left="360"/>
        <w:rPr>
          <w:i/>
        </w:rPr>
      </w:pPr>
      <w:r w:rsidRPr="00314BA4">
        <w:rPr>
          <w:i/>
        </w:rPr>
        <w:t xml:space="preserve">Note: </w:t>
      </w:r>
      <w:r w:rsidR="00D9596F" w:rsidRPr="00314BA4">
        <w:rPr>
          <w:i/>
        </w:rPr>
        <w:t>The yellow fever vaccines (a live vaccine) are prepared from virus grown in chick embryos and are the most likely to cause allergic reaction in egg- or chicken-allergic individuals. (CIG, p. 85)</w:t>
      </w:r>
    </w:p>
    <w:p w:rsidR="00DB58C5" w:rsidRPr="00314BA4" w:rsidRDefault="00314BA4" w:rsidP="00DB58C5">
      <w:pPr>
        <w:spacing w:after="0" w:line="240" w:lineRule="auto"/>
        <w:ind w:left="360"/>
        <w:rPr>
          <w:i/>
        </w:rPr>
      </w:pPr>
      <w:r w:rsidRPr="00314BA4">
        <w:rPr>
          <w:i/>
        </w:rPr>
        <w:t xml:space="preserve">Note: </w:t>
      </w:r>
      <w:r w:rsidR="00DB58C5" w:rsidRPr="00314BA4">
        <w:rPr>
          <w:i/>
        </w:rPr>
        <w:t>YF-VAX®, a live virus vaccine, is prepared in chick embryos from the attenuated 17D strain, is lyophilized and contains sorbitol and gelatin as stabilizers. There is no preservative in the vaccine or the accompanying diluent. (CIG, p. 345)</w:t>
      </w:r>
    </w:p>
    <w:p w:rsidR="00F30EF9" w:rsidRDefault="00F30EF9" w:rsidP="006E152A">
      <w:pPr>
        <w:spacing w:after="0" w:line="240" w:lineRule="auto"/>
        <w:ind w:left="360"/>
      </w:pPr>
    </w:p>
    <w:p w:rsidR="00F30EF9" w:rsidRDefault="00F30EF9" w:rsidP="00F30EF9">
      <w:pPr>
        <w:spacing w:after="0" w:line="240" w:lineRule="auto"/>
        <w:ind w:left="360"/>
      </w:pPr>
      <w:r w:rsidRPr="00494543">
        <w:rPr>
          <w:i/>
          <w:u w:val="single"/>
        </w:rPr>
        <w:t>Examinations</w:t>
      </w:r>
      <w:r>
        <w:t>:</w:t>
      </w:r>
    </w:p>
    <w:p w:rsidR="00F30EF9" w:rsidRDefault="00DB58C5" w:rsidP="006E152A">
      <w:pPr>
        <w:spacing w:after="0" w:line="240" w:lineRule="auto"/>
        <w:ind w:left="360"/>
      </w:pPr>
      <w:r>
        <w:t>I</w:t>
      </w:r>
      <w:r w:rsidRPr="00DB58C5">
        <w:t>ndividual risk assessment</w:t>
      </w:r>
      <w:r>
        <w:t xml:space="preserve"> of child by physician</w:t>
      </w:r>
    </w:p>
    <w:p w:rsidR="00F30EF9" w:rsidRDefault="00F30EF9" w:rsidP="006E152A">
      <w:pPr>
        <w:spacing w:after="0" w:line="240" w:lineRule="auto"/>
        <w:ind w:left="360"/>
      </w:pPr>
    </w:p>
    <w:p w:rsidR="00F30EF9" w:rsidRDefault="00F30EF9" w:rsidP="00F30EF9">
      <w:pPr>
        <w:spacing w:after="0" w:line="240" w:lineRule="auto"/>
        <w:ind w:left="360"/>
      </w:pPr>
      <w:r w:rsidRPr="00494543">
        <w:rPr>
          <w:i/>
          <w:u w:val="single"/>
        </w:rPr>
        <w:t>Blood Tests</w:t>
      </w:r>
      <w:r>
        <w:t>:</w:t>
      </w:r>
    </w:p>
    <w:p w:rsidR="00BD691F" w:rsidRDefault="00DB58C5" w:rsidP="006E152A">
      <w:pPr>
        <w:spacing w:after="0" w:line="240" w:lineRule="auto"/>
        <w:ind w:left="360"/>
      </w:pPr>
      <w:r>
        <w:t>Not applicable</w:t>
      </w:r>
    </w:p>
    <w:p w:rsidR="00DB58C5" w:rsidRDefault="00DB58C5" w:rsidP="006E152A">
      <w:pPr>
        <w:spacing w:after="0" w:line="240" w:lineRule="auto"/>
        <w:ind w:left="360"/>
      </w:pPr>
    </w:p>
    <w:p w:rsidR="00F30EF9" w:rsidRDefault="00F30EF9" w:rsidP="00F30EF9">
      <w:pPr>
        <w:spacing w:after="0" w:line="240" w:lineRule="auto"/>
        <w:ind w:left="360"/>
      </w:pPr>
      <w:r w:rsidRPr="006947B0">
        <w:rPr>
          <w:i/>
          <w:u w:val="single"/>
        </w:rPr>
        <w:t>Diagnosis</w:t>
      </w:r>
      <w:r>
        <w:t>:</w:t>
      </w:r>
    </w:p>
    <w:p w:rsidR="00F30EF9" w:rsidRDefault="00314BA4" w:rsidP="006E152A">
      <w:pPr>
        <w:spacing w:after="0" w:line="240" w:lineRule="auto"/>
        <w:ind w:left="360"/>
      </w:pPr>
      <w:r>
        <w:t>Possibility that child has less sensitivity to eggs. Vaccination for yellow fever is more important. Therefore vaccination should be conducted but under close medical supervision.</w:t>
      </w:r>
    </w:p>
    <w:p w:rsidR="00314BA4" w:rsidRDefault="00314BA4" w:rsidP="006E152A">
      <w:pPr>
        <w:spacing w:after="0" w:line="240" w:lineRule="auto"/>
        <w:ind w:left="360"/>
      </w:pPr>
    </w:p>
    <w:p w:rsidR="00314BA4" w:rsidRPr="00314BA4" w:rsidRDefault="00314BA4" w:rsidP="00314BA4">
      <w:pPr>
        <w:spacing w:after="0" w:line="240" w:lineRule="auto"/>
        <w:ind w:left="360"/>
        <w:rPr>
          <w:i/>
        </w:rPr>
      </w:pPr>
      <w:r w:rsidRPr="00314BA4">
        <w:rPr>
          <w:i/>
        </w:rPr>
        <w:t>Note: Egg allergy is one of the most common food allergies of childhood, with a prevalence of 1%-3% in children under 3 years of age. As most children outgrow their egg allergy, the prevalence in adulthood is much lower. (CIG, page 85)</w:t>
      </w:r>
    </w:p>
    <w:p w:rsidR="00314BA4" w:rsidRDefault="00314BA4" w:rsidP="006E152A">
      <w:pPr>
        <w:spacing w:after="0" w:line="240" w:lineRule="auto"/>
        <w:ind w:left="360"/>
      </w:pPr>
    </w:p>
    <w:p w:rsidR="00F30EF9" w:rsidRPr="00232BA1" w:rsidRDefault="00F30EF9" w:rsidP="006E152A">
      <w:pPr>
        <w:spacing w:after="0" w:line="240" w:lineRule="auto"/>
        <w:ind w:left="360"/>
        <w:rPr>
          <w:i/>
          <w:u w:val="single"/>
        </w:rPr>
      </w:pPr>
      <w:r w:rsidRPr="00232BA1">
        <w:rPr>
          <w:i/>
          <w:u w:val="single"/>
        </w:rPr>
        <w:t>Vaccine administration</w:t>
      </w:r>
    </w:p>
    <w:p w:rsidR="00F30EF9" w:rsidRDefault="00DB58C5" w:rsidP="006E152A">
      <w:pPr>
        <w:spacing w:after="0" w:line="240" w:lineRule="auto"/>
        <w:ind w:left="360"/>
      </w:pPr>
      <w:r>
        <w:t>Subcutaneous</w:t>
      </w:r>
    </w:p>
    <w:p w:rsidR="00F30EF9" w:rsidRDefault="00F30EF9" w:rsidP="006E152A">
      <w:pPr>
        <w:spacing w:after="0" w:line="240" w:lineRule="auto"/>
        <w:ind w:left="360"/>
      </w:pPr>
    </w:p>
    <w:p w:rsidR="00232BA1" w:rsidRPr="00232BA1" w:rsidRDefault="00232BA1" w:rsidP="006E152A">
      <w:pPr>
        <w:spacing w:after="0" w:line="240" w:lineRule="auto"/>
        <w:ind w:left="360"/>
        <w:rPr>
          <w:u w:val="single"/>
        </w:rPr>
      </w:pPr>
      <w:r w:rsidRPr="00232BA1">
        <w:rPr>
          <w:u w:val="single"/>
        </w:rPr>
        <w:t>Post vaccine supervision</w:t>
      </w:r>
    </w:p>
    <w:p w:rsidR="00D9596F" w:rsidRDefault="00D9596F" w:rsidP="00D9596F">
      <w:pPr>
        <w:tabs>
          <w:tab w:val="center" w:pos="5436"/>
        </w:tabs>
        <w:spacing w:after="0" w:line="240" w:lineRule="auto"/>
        <w:ind w:left="360"/>
      </w:pPr>
      <w:r>
        <w:t>Medication on hand: aqueous epinephrine 1:1000; diphenhydramine hydrochloride (Benadryl®)</w:t>
      </w:r>
      <w:r w:rsidR="006B10A9">
        <w:t xml:space="preserve">, resuscitative equipment appropriate for children. </w:t>
      </w:r>
    </w:p>
    <w:p w:rsidR="00314BA4" w:rsidRDefault="00314BA4" w:rsidP="00232BA1">
      <w:pPr>
        <w:spacing w:after="0" w:line="240" w:lineRule="auto"/>
        <w:ind w:left="360"/>
      </w:pPr>
    </w:p>
    <w:p w:rsidR="00232BA1" w:rsidRPr="00314BA4" w:rsidRDefault="00314BA4" w:rsidP="00232BA1">
      <w:pPr>
        <w:spacing w:after="0" w:line="240" w:lineRule="auto"/>
        <w:ind w:left="360"/>
        <w:rPr>
          <w:i/>
        </w:rPr>
      </w:pPr>
      <w:r w:rsidRPr="00314BA4">
        <w:rPr>
          <w:i/>
        </w:rPr>
        <w:t xml:space="preserve">Note: </w:t>
      </w:r>
      <w:r w:rsidR="00232BA1" w:rsidRPr="00314BA4">
        <w:rPr>
          <w:i/>
        </w:rPr>
        <w:t>As avoidance is not always possible, every vaccine provider should be familiar with the symptoms of anaphylaxis and be ready to initiate management and administer appropriate medications. Most instances begin within 30 minutes after an injection of vaccine; shorter intervals to onset foretell more severe reactions. Thus vaccine recipients should be kept under supervision for at least 15 minutes after immunization; 30 minutes is a safer interval when there is a specific concern about possible vaccine allergy. (CIG, p. 80)</w:t>
      </w:r>
    </w:p>
    <w:p w:rsidR="00232BA1" w:rsidRPr="00314BA4" w:rsidRDefault="00314BA4" w:rsidP="00232BA1">
      <w:pPr>
        <w:spacing w:after="0" w:line="240" w:lineRule="auto"/>
        <w:ind w:left="360"/>
        <w:rPr>
          <w:i/>
        </w:rPr>
      </w:pPr>
      <w:r w:rsidRPr="00314BA4">
        <w:rPr>
          <w:i/>
        </w:rPr>
        <w:t xml:space="preserve">Note: </w:t>
      </w:r>
      <w:r w:rsidR="00232BA1" w:rsidRPr="00314BA4">
        <w:rPr>
          <w:i/>
        </w:rPr>
        <w:t xml:space="preserve">The cardinal features of anaphylaxis are itchy, </w:t>
      </w:r>
      <w:proofErr w:type="spellStart"/>
      <w:r w:rsidR="00232BA1" w:rsidRPr="00314BA4">
        <w:rPr>
          <w:i/>
        </w:rPr>
        <w:t>urticarial</w:t>
      </w:r>
      <w:proofErr w:type="spellEnd"/>
      <w:r w:rsidR="00232BA1" w:rsidRPr="00314BA4">
        <w:rPr>
          <w:i/>
        </w:rPr>
        <w:t xml:space="preserve"> rash (in over 90% of cases); progressive, painless swelling (</w:t>
      </w:r>
      <w:proofErr w:type="spellStart"/>
      <w:r w:rsidR="00232BA1" w:rsidRPr="00314BA4">
        <w:rPr>
          <w:i/>
        </w:rPr>
        <w:t>angioedema</w:t>
      </w:r>
      <w:proofErr w:type="spellEnd"/>
      <w:r w:rsidR="00232BA1" w:rsidRPr="00314BA4">
        <w:rPr>
          <w:i/>
        </w:rPr>
        <w:t xml:space="preserve">) about the face and mouth, which may be preceded by itchiness, tearing, nasal congestion or facial </w:t>
      </w:r>
      <w:r w:rsidR="00D9596F" w:rsidRPr="00314BA4">
        <w:rPr>
          <w:i/>
        </w:rPr>
        <w:t>flushing</w:t>
      </w:r>
      <w:r w:rsidR="00232BA1" w:rsidRPr="00314BA4">
        <w:rPr>
          <w:i/>
        </w:rPr>
        <w:t xml:space="preserve">; respiratory symptoms, including sneezing, coughing, wheezing, labored breathing and upper airway swelling (indicated by hoarseness and/or </w:t>
      </w:r>
      <w:r w:rsidR="00D9596F" w:rsidRPr="00314BA4">
        <w:rPr>
          <w:i/>
        </w:rPr>
        <w:t>difficulty</w:t>
      </w:r>
      <w:r w:rsidR="00232BA1" w:rsidRPr="00314BA4">
        <w:rPr>
          <w:i/>
        </w:rPr>
        <w:t xml:space="preserve"> swallowing) possibly causing airway obstruction; hypotension, which generally develops later in the reaction and can progress to cause shock and collapse. Gastrointestinal symptoms like nausea, vomiting and diarrhea may occur with anaphylaxis</w:t>
      </w:r>
      <w:r w:rsidR="00D9596F" w:rsidRPr="00314BA4">
        <w:rPr>
          <w:i/>
        </w:rPr>
        <w:t xml:space="preserve"> (CIG, p. 81)</w:t>
      </w:r>
    </w:p>
    <w:p w:rsidR="00232BA1" w:rsidRDefault="00232BA1" w:rsidP="006E152A">
      <w:pPr>
        <w:spacing w:after="0" w:line="240" w:lineRule="auto"/>
        <w:ind w:left="360"/>
      </w:pPr>
    </w:p>
    <w:p w:rsidR="00F30EF9" w:rsidRPr="00232BA1" w:rsidRDefault="00F30EF9" w:rsidP="006E152A">
      <w:pPr>
        <w:spacing w:after="0" w:line="240" w:lineRule="auto"/>
        <w:ind w:left="360"/>
        <w:rPr>
          <w:i/>
          <w:u w:val="single"/>
        </w:rPr>
      </w:pPr>
      <w:r w:rsidRPr="00232BA1">
        <w:rPr>
          <w:i/>
          <w:u w:val="single"/>
        </w:rPr>
        <w:t>Outcomes</w:t>
      </w:r>
    </w:p>
    <w:p w:rsidR="00204AE9" w:rsidRDefault="00204AE9" w:rsidP="00204AE9">
      <w:pPr>
        <w:spacing w:after="0" w:line="240" w:lineRule="auto"/>
        <w:ind w:left="360"/>
      </w:pPr>
      <w:r>
        <w:t xml:space="preserve">Patient has received the vaccine and has been released without </w:t>
      </w:r>
      <w:r w:rsidR="00314BA4">
        <w:t xml:space="preserve">significant </w:t>
      </w:r>
      <w:r>
        <w:t>adverse reaction</w:t>
      </w:r>
    </w:p>
    <w:p w:rsidR="00204AE9" w:rsidRDefault="00204AE9" w:rsidP="00204AE9">
      <w:pPr>
        <w:spacing w:after="0" w:line="240" w:lineRule="auto"/>
        <w:ind w:left="360"/>
      </w:pPr>
      <w:r>
        <w:t xml:space="preserve">Updated patient summary record </w:t>
      </w:r>
    </w:p>
    <w:p w:rsidR="00204AE9" w:rsidRDefault="00204AE9" w:rsidP="00204AE9">
      <w:pPr>
        <w:spacing w:after="0" w:line="240" w:lineRule="auto"/>
        <w:ind w:left="360"/>
      </w:pPr>
      <w:r>
        <w:lastRenderedPageBreak/>
        <w:t>International Certificate</w:t>
      </w:r>
      <w:r w:rsidRPr="00DB58C5">
        <w:t xml:space="preserve"> of Vaccination</w:t>
      </w:r>
      <w:r>
        <w:t xml:space="preserve"> filled and signed</w:t>
      </w:r>
    </w:p>
    <w:p w:rsidR="00204AE9" w:rsidRDefault="00204AE9" w:rsidP="00204AE9">
      <w:pPr>
        <w:spacing w:after="0" w:line="240" w:lineRule="auto"/>
        <w:ind w:left="360"/>
      </w:pPr>
      <w:r>
        <w:t>Consult note sent to pediatrician</w:t>
      </w:r>
    </w:p>
    <w:p w:rsidR="00204AE9" w:rsidRDefault="00204AE9" w:rsidP="00204AE9">
      <w:pPr>
        <w:spacing w:after="0" w:line="240" w:lineRule="auto"/>
        <w:ind w:left="360"/>
      </w:pPr>
      <w:r>
        <w:t>Referral request for allergist examination, testing, and desensitization given to mother</w:t>
      </w:r>
    </w:p>
    <w:p w:rsidR="00F30EF9" w:rsidRDefault="00F30EF9" w:rsidP="006E152A">
      <w:pPr>
        <w:spacing w:after="0" w:line="240" w:lineRule="auto"/>
        <w:ind w:left="360"/>
      </w:pPr>
    </w:p>
    <w:p w:rsidR="00357281" w:rsidRPr="00357281" w:rsidRDefault="00357281" w:rsidP="00357281">
      <w:pPr>
        <w:spacing w:after="0" w:line="240" w:lineRule="auto"/>
        <w:rPr>
          <w:b/>
        </w:rPr>
      </w:pPr>
      <w:r w:rsidRPr="00357281">
        <w:rPr>
          <w:b/>
        </w:rPr>
        <w:t>References</w:t>
      </w:r>
    </w:p>
    <w:p w:rsidR="00232BA1" w:rsidRDefault="00232BA1" w:rsidP="00232BA1">
      <w:pPr>
        <w:pStyle w:val="ListParagraph"/>
        <w:numPr>
          <w:ilvl w:val="0"/>
          <w:numId w:val="19"/>
        </w:numPr>
        <w:spacing w:after="0" w:line="240" w:lineRule="auto"/>
      </w:pPr>
      <w:r>
        <w:t xml:space="preserve">CIG- Canadian Immunization Guide, seventh edition, Public Health Agency of Canada, 2006: </w:t>
      </w:r>
      <w:hyperlink r:id="rId8" w:history="1">
        <w:r w:rsidRPr="00232BA1">
          <w:rPr>
            <w:rStyle w:val="Hyperlink"/>
          </w:rPr>
          <w:t>http://www.phac-aspc.gc.ca/publicat/cig-gci/index-eng.php</w:t>
        </w:r>
      </w:hyperlink>
    </w:p>
    <w:p w:rsidR="00357281" w:rsidRDefault="00357281" w:rsidP="00232BA1">
      <w:pPr>
        <w:pStyle w:val="ListParagraph"/>
        <w:numPr>
          <w:ilvl w:val="0"/>
          <w:numId w:val="19"/>
        </w:numPr>
        <w:spacing w:after="0" w:line="240" w:lineRule="auto"/>
      </w:pPr>
      <w:r>
        <w:t xml:space="preserve">Yellow fever- Fact sheet N°100 - January 2011, WHO </w:t>
      </w:r>
      <w:r w:rsidRPr="00232BA1">
        <w:rPr>
          <w:sz w:val="16"/>
        </w:rPr>
        <w:t>(</w:t>
      </w:r>
      <w:hyperlink r:id="rId9" w:history="1">
        <w:r w:rsidRPr="00232BA1">
          <w:rPr>
            <w:rStyle w:val="Hyperlink"/>
            <w:sz w:val="16"/>
          </w:rPr>
          <w:t>http://www.who.int/mediacentre/factsheets/fs100/en/index.html</w:t>
        </w:r>
      </w:hyperlink>
      <w:r w:rsidRPr="00232BA1">
        <w:rPr>
          <w:sz w:val="16"/>
        </w:rPr>
        <w:t>)</w:t>
      </w:r>
      <w:r w:rsidR="00BD691F" w:rsidRPr="00232BA1">
        <w:rPr>
          <w:sz w:val="16"/>
        </w:rPr>
        <w:t xml:space="preserve"> and (</w:t>
      </w:r>
      <w:hyperlink r:id="rId10" w:history="1">
        <w:r w:rsidR="00BD691F" w:rsidRPr="00232BA1">
          <w:rPr>
            <w:rStyle w:val="Hyperlink"/>
            <w:sz w:val="16"/>
          </w:rPr>
          <w:t>http://www.who.int/vaccines/en/yellowfever.shtml</w:t>
        </w:r>
      </w:hyperlink>
      <w:r w:rsidR="00BD691F" w:rsidRPr="00232BA1">
        <w:rPr>
          <w:sz w:val="16"/>
        </w:rPr>
        <w:t>)</w:t>
      </w:r>
    </w:p>
    <w:p w:rsidR="00357281" w:rsidRDefault="00357281" w:rsidP="00232BA1">
      <w:pPr>
        <w:pStyle w:val="ListParagraph"/>
        <w:numPr>
          <w:ilvl w:val="0"/>
          <w:numId w:val="19"/>
        </w:numPr>
        <w:spacing w:after="0" w:line="240" w:lineRule="auto"/>
      </w:pPr>
      <w:r>
        <w:t xml:space="preserve">Reactions to 17D yellow fever vaccine are typically mild.... Immediate hypersensitivity reactions, characterized by rash, </w:t>
      </w:r>
      <w:proofErr w:type="spellStart"/>
      <w:r>
        <w:t>urticaria</w:t>
      </w:r>
      <w:proofErr w:type="spellEnd"/>
      <w:r>
        <w:t>, or asthma, are uncommon (i.e., an estimated incidence of 1/130,000--250,000) and occur principally among persons with histories of allergies to egg or other substances (</w:t>
      </w:r>
      <w:r w:rsidRPr="00357281">
        <w:t>26</w:t>
      </w:r>
      <w:r>
        <w:t>). Gelatin is used as a stabilizer in different vaccines, including yellow fever vaccine. Gelatin has been implicated as a cause of allergic reaction related to other vaccines and, therefore, might also do the same regarding yellow fever vaccine (</w:t>
      </w:r>
      <w:r w:rsidRPr="00357281">
        <w:t>27--29</w:t>
      </w:r>
      <w:r>
        <w:t>).  (</w:t>
      </w:r>
      <w:r w:rsidRPr="00357281">
        <w:t xml:space="preserve">Yellow Fever Vaccine Recommendations of the Advisory Committee on Immunization Practices (ACIP), 2002- </w:t>
      </w:r>
      <w:hyperlink r:id="rId11" w:history="1">
        <w:r w:rsidRPr="00357281">
          <w:rPr>
            <w:rStyle w:val="Hyperlink"/>
          </w:rPr>
          <w:t>http://www.cdc.gov/mmwr/preview/mmwrhtml/rr5117a1.htm</w:t>
        </w:r>
      </w:hyperlink>
      <w:r>
        <w:t>)</w:t>
      </w:r>
    </w:p>
    <w:p w:rsidR="00576C62" w:rsidRDefault="00EE0CEA" w:rsidP="00FA7B00">
      <w:pPr>
        <w:pStyle w:val="ListParagraph"/>
        <w:numPr>
          <w:ilvl w:val="0"/>
          <w:numId w:val="19"/>
        </w:numPr>
        <w:spacing w:after="0" w:line="240" w:lineRule="auto"/>
      </w:pPr>
      <w:r w:rsidRPr="00FA7B00">
        <w:t xml:space="preserve">The American College of Allergy, Asthma and Immunology and the American Academy of Allergy, Asthma and Immunology issued joint practice parameters in 2011 for influenza immunization in individuals with a history of anaphylaxis after egg ingestion.  Recommendation is for egg allergy less severe than anaphylaxis, give immunization in </w:t>
      </w:r>
      <w:proofErr w:type="gramStart"/>
      <w:r w:rsidRPr="00FA7B00">
        <w:t>pediatricians</w:t>
      </w:r>
      <w:proofErr w:type="gramEnd"/>
      <w:r w:rsidRPr="00FA7B00">
        <w:t xml:space="preserve"> office.  For those with anaphylactic history, administer in allergist office.  They cite a study of 185 individuals with “convincing” history of anaphylaxis after egg in which there were no reactions to routine influenza immunization.  Influenza immunization is admittedly not yellow fever immunization, but I think this is a reflection of diminishing level of risk as manufacturing techniques for vaccines have improved over the years.</w:t>
      </w:r>
      <w:r w:rsidR="00FA7B00" w:rsidRPr="00FA7B00">
        <w:t xml:space="preserve"> (Dr. Russell Leftwich)</w:t>
      </w:r>
      <w:bookmarkStart w:id="0" w:name="_GoBack"/>
      <w:bookmarkEnd w:id="0"/>
      <w:r w:rsidR="007406DD">
        <w:t>(reference)</w:t>
      </w:r>
    </w:p>
    <w:p w:rsidR="00455A03" w:rsidRDefault="00115518" w:rsidP="00455A03">
      <w:pPr>
        <w:pStyle w:val="ListParagraph"/>
        <w:spacing w:after="0" w:line="240" w:lineRule="auto"/>
        <w:ind w:left="1080"/>
      </w:pPr>
      <w:hyperlink r:id="rId12" w:history="1">
        <w:r w:rsidR="00455A03">
          <w:rPr>
            <w:rStyle w:val="Hyperlink"/>
          </w:rPr>
          <w:t>http://www.aaaai.org/Aaaai/media/MediaLibrary/PDF%20Documents/Practice%20and%20Parameters/Egg-Allergy-and-Influenza-Vaccine-112111.pdf</w:t>
        </w:r>
      </w:hyperlink>
    </w:p>
    <w:p w:rsidR="00FA7B00" w:rsidRDefault="00FA7B00" w:rsidP="00F30EF9">
      <w:pPr>
        <w:spacing w:after="0" w:line="240" w:lineRule="auto"/>
        <w:rPr>
          <w:b/>
        </w:rPr>
      </w:pPr>
    </w:p>
    <w:p w:rsidR="00576C62" w:rsidRPr="00F30EF9" w:rsidRDefault="00F30EF9" w:rsidP="00F30EF9">
      <w:pPr>
        <w:spacing w:after="0" w:line="240" w:lineRule="auto"/>
        <w:rPr>
          <w:b/>
        </w:rPr>
      </w:pPr>
      <w:r w:rsidRPr="00F30EF9">
        <w:rPr>
          <w:b/>
        </w:rPr>
        <w:t>Special thanks</w:t>
      </w:r>
    </w:p>
    <w:p w:rsidR="00F30EF9" w:rsidRDefault="00F30EF9" w:rsidP="00EE0CEA">
      <w:pPr>
        <w:pStyle w:val="ListParagraph"/>
        <w:numPr>
          <w:ilvl w:val="0"/>
          <w:numId w:val="20"/>
        </w:numPr>
        <w:spacing w:after="0" w:line="240" w:lineRule="auto"/>
      </w:pPr>
      <w:r>
        <w:t>Dr. Caroline Boisvert, md, consulting physician, immunization products, Laurentians Public Health Department</w:t>
      </w:r>
      <w:r w:rsidR="00EE0CEA">
        <w:t>, province of Quebec</w:t>
      </w:r>
      <w:r>
        <w:t>; also practicing physician in travel clinic.</w:t>
      </w:r>
    </w:p>
    <w:p w:rsidR="00F30EF9" w:rsidRDefault="00F30EF9" w:rsidP="00EE0CEA">
      <w:pPr>
        <w:pStyle w:val="ListParagraph"/>
        <w:numPr>
          <w:ilvl w:val="0"/>
          <w:numId w:val="20"/>
        </w:numPr>
        <w:spacing w:after="0" w:line="240" w:lineRule="auto"/>
      </w:pPr>
      <w:r>
        <w:t>Dr. Réjean Dion, md, public health consulting physician, Quebec Public Health National Institute</w:t>
      </w:r>
    </w:p>
    <w:p w:rsidR="00EE0CEA" w:rsidRPr="00EE0CEA" w:rsidRDefault="00EE0CEA" w:rsidP="00EE0CEA">
      <w:pPr>
        <w:pStyle w:val="ListParagraph"/>
        <w:numPr>
          <w:ilvl w:val="0"/>
          <w:numId w:val="20"/>
        </w:numPr>
        <w:spacing w:after="0" w:line="240" w:lineRule="auto"/>
      </w:pPr>
      <w:r>
        <w:t xml:space="preserve">Dr. </w:t>
      </w:r>
      <w:r w:rsidRPr="00EE0CEA">
        <w:t>Russell Leftwich</w:t>
      </w:r>
      <w:r>
        <w:t xml:space="preserve">, </w:t>
      </w:r>
      <w:r w:rsidRPr="00EE0CEA">
        <w:t>Chief Medical Informatics Officer, Office of eHealth Initiatives</w:t>
      </w:r>
      <w:r>
        <w:t xml:space="preserve">, State of Tennessee; </w:t>
      </w:r>
      <w:r w:rsidRPr="00EE0CEA">
        <w:t>FAAAAI - Fellow of the American Academy of Allergy, Asthma, &amp; Immunology</w:t>
      </w:r>
    </w:p>
    <w:p w:rsidR="00F30EF9" w:rsidRPr="00EE0CEA" w:rsidRDefault="00F30EF9" w:rsidP="00576C62">
      <w:pPr>
        <w:spacing w:after="0" w:line="240" w:lineRule="auto"/>
        <w:ind w:left="360"/>
        <w:rPr>
          <w:lang w:val="en-CA"/>
        </w:rPr>
      </w:pPr>
    </w:p>
    <w:p w:rsidR="00F168D8" w:rsidRDefault="007120E0" w:rsidP="007120E0">
      <w:pPr>
        <w:spacing w:after="0" w:line="240" w:lineRule="auto"/>
      </w:pPr>
      <w:r>
        <w:t>Prepared by André Boudreau</w:t>
      </w:r>
      <w:r w:rsidR="00314BA4">
        <w:t xml:space="preserve">, </w:t>
      </w:r>
    </w:p>
    <w:p w:rsidR="00F30EF9" w:rsidRDefault="00F168D8" w:rsidP="007120E0">
      <w:pPr>
        <w:spacing w:after="0" w:line="240" w:lineRule="auto"/>
      </w:pPr>
      <w:r>
        <w:t xml:space="preserve">Member </w:t>
      </w:r>
      <w:r w:rsidR="00314BA4">
        <w:t>HL7 Patient Care Work Group</w:t>
      </w:r>
      <w:r>
        <w:t xml:space="preserve"> – Allergy initiative</w:t>
      </w:r>
    </w:p>
    <w:p w:rsidR="00F168D8" w:rsidRPr="00F168D8" w:rsidRDefault="00F168D8" w:rsidP="00F168D8">
      <w:pPr>
        <w:spacing w:after="0" w:line="240" w:lineRule="auto"/>
      </w:pPr>
      <w:r w:rsidRPr="00F168D8">
        <w:t>Co-Lead, Care plan, HL7 Patient Care Work Group</w:t>
      </w:r>
    </w:p>
    <w:p w:rsidR="00F168D8" w:rsidRPr="00F168D8" w:rsidRDefault="00F168D8" w:rsidP="00F168D8">
      <w:pPr>
        <w:spacing w:after="0" w:line="240" w:lineRule="auto"/>
      </w:pPr>
      <w:r w:rsidRPr="00F168D8">
        <w:t>Past Chair</w:t>
      </w:r>
      <w:proofErr w:type="gramStart"/>
      <w:r w:rsidRPr="00F168D8">
        <w:t>,  Individual</w:t>
      </w:r>
      <w:proofErr w:type="gramEnd"/>
      <w:r w:rsidRPr="00F168D8">
        <w:t xml:space="preserve"> Care pan Canadian Standards Collaborative Working Group</w:t>
      </w:r>
    </w:p>
    <w:p w:rsidR="00F168D8" w:rsidRDefault="00F168D8" w:rsidP="007120E0">
      <w:pPr>
        <w:spacing w:after="0" w:line="240" w:lineRule="auto"/>
      </w:pPr>
    </w:p>
    <w:p w:rsidR="007120E0" w:rsidRDefault="007120E0" w:rsidP="007120E0">
      <w:pPr>
        <w:spacing w:after="0" w:line="240" w:lineRule="auto"/>
      </w:pPr>
      <w:r>
        <w:t>2012-05-09</w:t>
      </w:r>
    </w:p>
    <w:sectPr w:rsidR="007120E0" w:rsidSect="00B95AC4">
      <w:headerReference w:type="default" r:id="rId13"/>
      <w:footerReference w:type="default" r:id="rId14"/>
      <w:pgSz w:w="12240" w:h="15840"/>
      <w:pgMar w:top="1080" w:right="864" w:bottom="1008"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6DD" w:rsidRDefault="007406DD" w:rsidP="00FF4562">
      <w:pPr>
        <w:spacing w:after="0" w:line="240" w:lineRule="auto"/>
      </w:pPr>
      <w:r>
        <w:separator/>
      </w:r>
    </w:p>
  </w:endnote>
  <w:endnote w:type="continuationSeparator" w:id="0">
    <w:p w:rsidR="007406DD" w:rsidRDefault="007406DD" w:rsidP="00FF4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DD" w:rsidRPr="003805D6" w:rsidRDefault="00115518">
    <w:pPr>
      <w:pStyle w:val="Footer"/>
      <w:pBdr>
        <w:top w:val="single" w:sz="4" w:space="1" w:color="D9D9D9"/>
      </w:pBdr>
      <w:rPr>
        <w:b/>
        <w:bCs/>
        <w:sz w:val="20"/>
      </w:rPr>
    </w:pPr>
    <w:r w:rsidRPr="003805D6">
      <w:rPr>
        <w:sz w:val="20"/>
      </w:rPr>
      <w:fldChar w:fldCharType="begin"/>
    </w:r>
    <w:r w:rsidR="007406DD" w:rsidRPr="003805D6">
      <w:rPr>
        <w:sz w:val="20"/>
      </w:rPr>
      <w:instrText xml:space="preserve"> PAGE   \* MERGEFORMAT </w:instrText>
    </w:r>
    <w:r w:rsidRPr="003805D6">
      <w:rPr>
        <w:sz w:val="20"/>
      </w:rPr>
      <w:fldChar w:fldCharType="separate"/>
    </w:r>
    <w:r w:rsidR="008E0E9D" w:rsidRPr="008E0E9D">
      <w:rPr>
        <w:b/>
        <w:bCs/>
        <w:noProof/>
        <w:sz w:val="20"/>
      </w:rPr>
      <w:t>2</w:t>
    </w:r>
    <w:r w:rsidRPr="003805D6">
      <w:rPr>
        <w:sz w:val="20"/>
      </w:rPr>
      <w:fldChar w:fldCharType="end"/>
    </w:r>
    <w:r w:rsidR="007406DD" w:rsidRPr="003805D6">
      <w:rPr>
        <w:b/>
        <w:bCs/>
        <w:sz w:val="20"/>
      </w:rPr>
      <w:t xml:space="preserve"> | </w:t>
    </w:r>
    <w:r w:rsidR="007406DD" w:rsidRPr="003805D6">
      <w:rPr>
        <w:color w:val="808080"/>
        <w:spacing w:val="60"/>
        <w:sz w:val="20"/>
      </w:rPr>
      <w:t>Page</w:t>
    </w:r>
  </w:p>
  <w:p w:rsidR="007406DD" w:rsidRDefault="00740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6DD" w:rsidRDefault="007406DD" w:rsidP="00FF4562">
      <w:pPr>
        <w:spacing w:after="0" w:line="240" w:lineRule="auto"/>
      </w:pPr>
      <w:r>
        <w:separator/>
      </w:r>
    </w:p>
  </w:footnote>
  <w:footnote w:type="continuationSeparator" w:id="0">
    <w:p w:rsidR="007406DD" w:rsidRDefault="007406DD" w:rsidP="00FF4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DD" w:rsidRDefault="007406DD" w:rsidP="00AA3A9E">
    <w:r>
      <w:rPr>
        <w:color w:val="4F81BD"/>
        <w:sz w:val="20"/>
      </w:rPr>
      <w:t>HL7 Allergy and Intolerance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4FFD"/>
    <w:multiLevelType w:val="hybridMultilevel"/>
    <w:tmpl w:val="BFFE2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C3FD8"/>
    <w:multiLevelType w:val="hybridMultilevel"/>
    <w:tmpl w:val="E4D4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D2F08"/>
    <w:multiLevelType w:val="hybridMultilevel"/>
    <w:tmpl w:val="6580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B69C8"/>
    <w:multiLevelType w:val="hybridMultilevel"/>
    <w:tmpl w:val="BC9AF9B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48B81187"/>
    <w:multiLevelType w:val="hybridMultilevel"/>
    <w:tmpl w:val="EBA4A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D7E63"/>
    <w:multiLevelType w:val="hybridMultilevel"/>
    <w:tmpl w:val="FE0E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81F06"/>
    <w:multiLevelType w:val="hybridMultilevel"/>
    <w:tmpl w:val="81EC9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A66D09"/>
    <w:multiLevelType w:val="hybridMultilevel"/>
    <w:tmpl w:val="93B8A0C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8">
    <w:nsid w:val="58E62701"/>
    <w:multiLevelType w:val="hybridMultilevel"/>
    <w:tmpl w:val="81EC9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5F149D"/>
    <w:multiLevelType w:val="hybridMultilevel"/>
    <w:tmpl w:val="D8DA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236F39"/>
    <w:multiLevelType w:val="hybridMultilevel"/>
    <w:tmpl w:val="7EBC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12">
    <w:nsid w:val="692467FD"/>
    <w:multiLevelType w:val="hybridMultilevel"/>
    <w:tmpl w:val="0DF0E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A67BFB"/>
    <w:multiLevelType w:val="hybridMultilevel"/>
    <w:tmpl w:val="2ED2A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9061C7"/>
    <w:multiLevelType w:val="hybridMultilevel"/>
    <w:tmpl w:val="AC1E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D65892"/>
    <w:multiLevelType w:val="hybridMultilevel"/>
    <w:tmpl w:val="51B02F7A"/>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nsid w:val="75E240D6"/>
    <w:multiLevelType w:val="hybridMultilevel"/>
    <w:tmpl w:val="06E28BC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nsid w:val="76294355"/>
    <w:multiLevelType w:val="hybridMultilevel"/>
    <w:tmpl w:val="81EC9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E54D50"/>
    <w:multiLevelType w:val="hybridMultilevel"/>
    <w:tmpl w:val="81EC9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C370A0"/>
    <w:multiLevelType w:val="hybridMultilevel"/>
    <w:tmpl w:val="19647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17"/>
  </w:num>
  <w:num w:numId="4">
    <w:abstractNumId w:val="7"/>
  </w:num>
  <w:num w:numId="5">
    <w:abstractNumId w:val="14"/>
  </w:num>
  <w:num w:numId="6">
    <w:abstractNumId w:val="1"/>
  </w:num>
  <w:num w:numId="7">
    <w:abstractNumId w:val="9"/>
  </w:num>
  <w:num w:numId="8">
    <w:abstractNumId w:val="5"/>
  </w:num>
  <w:num w:numId="9">
    <w:abstractNumId w:val="6"/>
  </w:num>
  <w:num w:numId="10">
    <w:abstractNumId w:val="4"/>
  </w:num>
  <w:num w:numId="11">
    <w:abstractNumId w:val="12"/>
  </w:num>
  <w:num w:numId="12">
    <w:abstractNumId w:val="13"/>
  </w:num>
  <w:num w:numId="13">
    <w:abstractNumId w:val="19"/>
  </w:num>
  <w:num w:numId="14">
    <w:abstractNumId w:val="0"/>
  </w:num>
  <w:num w:numId="15">
    <w:abstractNumId w:val="8"/>
  </w:num>
  <w:num w:numId="16">
    <w:abstractNumId w:val="18"/>
  </w:num>
  <w:num w:numId="17">
    <w:abstractNumId w:val="2"/>
  </w:num>
  <w:num w:numId="18">
    <w:abstractNumId w:val="15"/>
  </w:num>
  <w:num w:numId="19">
    <w:abstractNumId w:val="16"/>
  </w:num>
  <w:num w:numId="2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7634F"/>
    <w:rsid w:val="00001B0D"/>
    <w:rsid w:val="00003AD5"/>
    <w:rsid w:val="000041C4"/>
    <w:rsid w:val="00005CE4"/>
    <w:rsid w:val="00011B51"/>
    <w:rsid w:val="0001406A"/>
    <w:rsid w:val="000240EA"/>
    <w:rsid w:val="0003005E"/>
    <w:rsid w:val="00040346"/>
    <w:rsid w:val="00077528"/>
    <w:rsid w:val="00086DA7"/>
    <w:rsid w:val="00092670"/>
    <w:rsid w:val="000A2D95"/>
    <w:rsid w:val="000C3BB7"/>
    <w:rsid w:val="000E744F"/>
    <w:rsid w:val="00101645"/>
    <w:rsid w:val="0010691D"/>
    <w:rsid w:val="00110B03"/>
    <w:rsid w:val="00115518"/>
    <w:rsid w:val="00126A62"/>
    <w:rsid w:val="0013127C"/>
    <w:rsid w:val="00145EBC"/>
    <w:rsid w:val="00155500"/>
    <w:rsid w:val="001569F4"/>
    <w:rsid w:val="0016335E"/>
    <w:rsid w:val="00167513"/>
    <w:rsid w:val="001778A5"/>
    <w:rsid w:val="001852AD"/>
    <w:rsid w:val="00193FE8"/>
    <w:rsid w:val="001A65C3"/>
    <w:rsid w:val="001B165D"/>
    <w:rsid w:val="001B4C70"/>
    <w:rsid w:val="001B6A75"/>
    <w:rsid w:val="001B72D9"/>
    <w:rsid w:val="001C0FAF"/>
    <w:rsid w:val="001D4E0B"/>
    <w:rsid w:val="001D6DB2"/>
    <w:rsid w:val="001D6FB8"/>
    <w:rsid w:val="001D79C3"/>
    <w:rsid w:val="001E6103"/>
    <w:rsid w:val="001E6363"/>
    <w:rsid w:val="001F18A5"/>
    <w:rsid w:val="00204AE9"/>
    <w:rsid w:val="00206084"/>
    <w:rsid w:val="00207C7D"/>
    <w:rsid w:val="002165B8"/>
    <w:rsid w:val="00222415"/>
    <w:rsid w:val="00232BA1"/>
    <w:rsid w:val="002330D0"/>
    <w:rsid w:val="00255F1F"/>
    <w:rsid w:val="0025756E"/>
    <w:rsid w:val="00264A84"/>
    <w:rsid w:val="0027467A"/>
    <w:rsid w:val="002767D3"/>
    <w:rsid w:val="00282DBE"/>
    <w:rsid w:val="00296ED4"/>
    <w:rsid w:val="002B3AFE"/>
    <w:rsid w:val="002C03E9"/>
    <w:rsid w:val="002C4E4C"/>
    <w:rsid w:val="002C5A32"/>
    <w:rsid w:val="002D4625"/>
    <w:rsid w:val="002D6278"/>
    <w:rsid w:val="002E547A"/>
    <w:rsid w:val="002E7762"/>
    <w:rsid w:val="00314735"/>
    <w:rsid w:val="00314BA4"/>
    <w:rsid w:val="00325BA9"/>
    <w:rsid w:val="0033210D"/>
    <w:rsid w:val="00340C72"/>
    <w:rsid w:val="0035128B"/>
    <w:rsid w:val="003549F8"/>
    <w:rsid w:val="00357281"/>
    <w:rsid w:val="00357596"/>
    <w:rsid w:val="00363E3A"/>
    <w:rsid w:val="00375C9C"/>
    <w:rsid w:val="00376C68"/>
    <w:rsid w:val="003805D6"/>
    <w:rsid w:val="00383A28"/>
    <w:rsid w:val="00384B14"/>
    <w:rsid w:val="003860FE"/>
    <w:rsid w:val="0038651C"/>
    <w:rsid w:val="003911E9"/>
    <w:rsid w:val="00391243"/>
    <w:rsid w:val="003B5CDE"/>
    <w:rsid w:val="003D2028"/>
    <w:rsid w:val="003E6B3E"/>
    <w:rsid w:val="003E6C17"/>
    <w:rsid w:val="003F0C5F"/>
    <w:rsid w:val="003F1AC5"/>
    <w:rsid w:val="003F2863"/>
    <w:rsid w:val="0040233C"/>
    <w:rsid w:val="004047FD"/>
    <w:rsid w:val="0041041D"/>
    <w:rsid w:val="004200F5"/>
    <w:rsid w:val="004221D8"/>
    <w:rsid w:val="0042287B"/>
    <w:rsid w:val="00423457"/>
    <w:rsid w:val="00442269"/>
    <w:rsid w:val="00445F4D"/>
    <w:rsid w:val="00455A03"/>
    <w:rsid w:val="00456B5E"/>
    <w:rsid w:val="00460379"/>
    <w:rsid w:val="00461F0A"/>
    <w:rsid w:val="00462355"/>
    <w:rsid w:val="004667F6"/>
    <w:rsid w:val="00487AF4"/>
    <w:rsid w:val="0049614F"/>
    <w:rsid w:val="004964CE"/>
    <w:rsid w:val="004B628E"/>
    <w:rsid w:val="004C2CA4"/>
    <w:rsid w:val="004C2F7A"/>
    <w:rsid w:val="004C3470"/>
    <w:rsid w:val="004C4A54"/>
    <w:rsid w:val="004C5958"/>
    <w:rsid w:val="004F05C2"/>
    <w:rsid w:val="004F6884"/>
    <w:rsid w:val="00500DA5"/>
    <w:rsid w:val="00505462"/>
    <w:rsid w:val="005165B0"/>
    <w:rsid w:val="00520226"/>
    <w:rsid w:val="0052163E"/>
    <w:rsid w:val="00525B07"/>
    <w:rsid w:val="00540942"/>
    <w:rsid w:val="005463EF"/>
    <w:rsid w:val="00547DB2"/>
    <w:rsid w:val="00576C62"/>
    <w:rsid w:val="00591EE2"/>
    <w:rsid w:val="005957EF"/>
    <w:rsid w:val="00597FBA"/>
    <w:rsid w:val="005A26C5"/>
    <w:rsid w:val="005A2F77"/>
    <w:rsid w:val="005B185B"/>
    <w:rsid w:val="005D7C8C"/>
    <w:rsid w:val="005E1755"/>
    <w:rsid w:val="005F048B"/>
    <w:rsid w:val="005F0AC7"/>
    <w:rsid w:val="005F4293"/>
    <w:rsid w:val="00602572"/>
    <w:rsid w:val="0060535F"/>
    <w:rsid w:val="00607420"/>
    <w:rsid w:val="00611844"/>
    <w:rsid w:val="006124A4"/>
    <w:rsid w:val="006240AB"/>
    <w:rsid w:val="006261B7"/>
    <w:rsid w:val="00636A67"/>
    <w:rsid w:val="00640AB8"/>
    <w:rsid w:val="00644A95"/>
    <w:rsid w:val="00662AD5"/>
    <w:rsid w:val="0069093C"/>
    <w:rsid w:val="006B0DF7"/>
    <w:rsid w:val="006B10A9"/>
    <w:rsid w:val="006B677A"/>
    <w:rsid w:val="006B7666"/>
    <w:rsid w:val="006D22D2"/>
    <w:rsid w:val="006D63DC"/>
    <w:rsid w:val="006E152A"/>
    <w:rsid w:val="006E2225"/>
    <w:rsid w:val="007120E0"/>
    <w:rsid w:val="00721E2B"/>
    <w:rsid w:val="00723CFF"/>
    <w:rsid w:val="00725370"/>
    <w:rsid w:val="00727A8F"/>
    <w:rsid w:val="00731B25"/>
    <w:rsid w:val="007406DD"/>
    <w:rsid w:val="00740EB1"/>
    <w:rsid w:val="00741A03"/>
    <w:rsid w:val="007514A6"/>
    <w:rsid w:val="00751813"/>
    <w:rsid w:val="007533D9"/>
    <w:rsid w:val="007536CB"/>
    <w:rsid w:val="00756727"/>
    <w:rsid w:val="007715C9"/>
    <w:rsid w:val="00771A5B"/>
    <w:rsid w:val="00771B29"/>
    <w:rsid w:val="00782976"/>
    <w:rsid w:val="00792EE7"/>
    <w:rsid w:val="00797DC6"/>
    <w:rsid w:val="007A3E97"/>
    <w:rsid w:val="007B0615"/>
    <w:rsid w:val="007C72CF"/>
    <w:rsid w:val="007E0721"/>
    <w:rsid w:val="007F7636"/>
    <w:rsid w:val="00810B37"/>
    <w:rsid w:val="00817E2D"/>
    <w:rsid w:val="00820957"/>
    <w:rsid w:val="00831C90"/>
    <w:rsid w:val="008532E1"/>
    <w:rsid w:val="00856557"/>
    <w:rsid w:val="008621C0"/>
    <w:rsid w:val="00875331"/>
    <w:rsid w:val="0087634F"/>
    <w:rsid w:val="008B6BF0"/>
    <w:rsid w:val="008D139C"/>
    <w:rsid w:val="008D3885"/>
    <w:rsid w:val="008E0E9D"/>
    <w:rsid w:val="008E7925"/>
    <w:rsid w:val="00936AAF"/>
    <w:rsid w:val="00960A64"/>
    <w:rsid w:val="00964E5E"/>
    <w:rsid w:val="009724A2"/>
    <w:rsid w:val="00974F48"/>
    <w:rsid w:val="0098225B"/>
    <w:rsid w:val="009867C9"/>
    <w:rsid w:val="00990990"/>
    <w:rsid w:val="009A3855"/>
    <w:rsid w:val="009B5551"/>
    <w:rsid w:val="009C1595"/>
    <w:rsid w:val="009C5EFC"/>
    <w:rsid w:val="009D01AF"/>
    <w:rsid w:val="009E7349"/>
    <w:rsid w:val="009F01AB"/>
    <w:rsid w:val="009F1643"/>
    <w:rsid w:val="00A4171E"/>
    <w:rsid w:val="00A549B7"/>
    <w:rsid w:val="00A6318D"/>
    <w:rsid w:val="00A63E46"/>
    <w:rsid w:val="00A749D7"/>
    <w:rsid w:val="00A80A41"/>
    <w:rsid w:val="00A82118"/>
    <w:rsid w:val="00A83C53"/>
    <w:rsid w:val="00A9659C"/>
    <w:rsid w:val="00AA3A9E"/>
    <w:rsid w:val="00AC03B7"/>
    <w:rsid w:val="00AC1E17"/>
    <w:rsid w:val="00AC647E"/>
    <w:rsid w:val="00AE4C75"/>
    <w:rsid w:val="00AF1C30"/>
    <w:rsid w:val="00B27263"/>
    <w:rsid w:val="00B33436"/>
    <w:rsid w:val="00B3681C"/>
    <w:rsid w:val="00B46CE3"/>
    <w:rsid w:val="00B55F60"/>
    <w:rsid w:val="00B62E24"/>
    <w:rsid w:val="00B74368"/>
    <w:rsid w:val="00B80682"/>
    <w:rsid w:val="00B95AC4"/>
    <w:rsid w:val="00B974CF"/>
    <w:rsid w:val="00BA123F"/>
    <w:rsid w:val="00BA16B6"/>
    <w:rsid w:val="00BB0FF5"/>
    <w:rsid w:val="00BB61C8"/>
    <w:rsid w:val="00BC7570"/>
    <w:rsid w:val="00BD2DBF"/>
    <w:rsid w:val="00BD691F"/>
    <w:rsid w:val="00BD69F0"/>
    <w:rsid w:val="00BE2913"/>
    <w:rsid w:val="00BE2DCA"/>
    <w:rsid w:val="00BF0C19"/>
    <w:rsid w:val="00BF5314"/>
    <w:rsid w:val="00C007DF"/>
    <w:rsid w:val="00C207FF"/>
    <w:rsid w:val="00C20C76"/>
    <w:rsid w:val="00C21A25"/>
    <w:rsid w:val="00C222C7"/>
    <w:rsid w:val="00C33F85"/>
    <w:rsid w:val="00C43326"/>
    <w:rsid w:val="00C4535B"/>
    <w:rsid w:val="00C552BA"/>
    <w:rsid w:val="00C70452"/>
    <w:rsid w:val="00C77CA3"/>
    <w:rsid w:val="00C938FC"/>
    <w:rsid w:val="00CA623B"/>
    <w:rsid w:val="00CC245E"/>
    <w:rsid w:val="00CC38B8"/>
    <w:rsid w:val="00CD4208"/>
    <w:rsid w:val="00CF0B06"/>
    <w:rsid w:val="00CF1AB9"/>
    <w:rsid w:val="00CF2B69"/>
    <w:rsid w:val="00D0554C"/>
    <w:rsid w:val="00D11D97"/>
    <w:rsid w:val="00D2431A"/>
    <w:rsid w:val="00D4078E"/>
    <w:rsid w:val="00D51935"/>
    <w:rsid w:val="00D53E75"/>
    <w:rsid w:val="00D63D88"/>
    <w:rsid w:val="00D75A4A"/>
    <w:rsid w:val="00D8098B"/>
    <w:rsid w:val="00D80CA3"/>
    <w:rsid w:val="00D85917"/>
    <w:rsid w:val="00D8648A"/>
    <w:rsid w:val="00D9596F"/>
    <w:rsid w:val="00DB0905"/>
    <w:rsid w:val="00DB2FF9"/>
    <w:rsid w:val="00DB4C94"/>
    <w:rsid w:val="00DB58C5"/>
    <w:rsid w:val="00DD230A"/>
    <w:rsid w:val="00DD6B5A"/>
    <w:rsid w:val="00DE2236"/>
    <w:rsid w:val="00DE6F19"/>
    <w:rsid w:val="00DF2088"/>
    <w:rsid w:val="00DF2BFE"/>
    <w:rsid w:val="00E12D82"/>
    <w:rsid w:val="00E20CEF"/>
    <w:rsid w:val="00E21A45"/>
    <w:rsid w:val="00E326DE"/>
    <w:rsid w:val="00E32ADF"/>
    <w:rsid w:val="00E5258A"/>
    <w:rsid w:val="00E570B6"/>
    <w:rsid w:val="00E57398"/>
    <w:rsid w:val="00E66E4B"/>
    <w:rsid w:val="00E8000E"/>
    <w:rsid w:val="00E974C8"/>
    <w:rsid w:val="00EA5DD8"/>
    <w:rsid w:val="00EA7AAC"/>
    <w:rsid w:val="00EC070F"/>
    <w:rsid w:val="00EC4F42"/>
    <w:rsid w:val="00ED7CE5"/>
    <w:rsid w:val="00EE0CEA"/>
    <w:rsid w:val="00EE3042"/>
    <w:rsid w:val="00EF770A"/>
    <w:rsid w:val="00F03015"/>
    <w:rsid w:val="00F0308E"/>
    <w:rsid w:val="00F033CA"/>
    <w:rsid w:val="00F10778"/>
    <w:rsid w:val="00F13928"/>
    <w:rsid w:val="00F16403"/>
    <w:rsid w:val="00F168D8"/>
    <w:rsid w:val="00F208A9"/>
    <w:rsid w:val="00F30EF9"/>
    <w:rsid w:val="00F4076C"/>
    <w:rsid w:val="00F54160"/>
    <w:rsid w:val="00F5516F"/>
    <w:rsid w:val="00F61C24"/>
    <w:rsid w:val="00F66479"/>
    <w:rsid w:val="00F71C38"/>
    <w:rsid w:val="00F720A3"/>
    <w:rsid w:val="00F752F1"/>
    <w:rsid w:val="00F77405"/>
    <w:rsid w:val="00F90F89"/>
    <w:rsid w:val="00F91A95"/>
    <w:rsid w:val="00FA7B00"/>
    <w:rsid w:val="00FB00BF"/>
    <w:rsid w:val="00FB7E93"/>
    <w:rsid w:val="00FC205A"/>
    <w:rsid w:val="00FC4C82"/>
    <w:rsid w:val="00FD0AB5"/>
    <w:rsid w:val="00FD519B"/>
    <w:rsid w:val="00FD6332"/>
    <w:rsid w:val="00FD6630"/>
    <w:rsid w:val="00FF2187"/>
    <w:rsid w:val="00FF4562"/>
    <w:rsid w:val="00FF497A"/>
    <w:rsid w:val="00FF5A82"/>
    <w:rsid w:val="00FF7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1">
    <w:name w:val="heading 1"/>
    <w:basedOn w:val="Normal"/>
    <w:next w:val="Normal"/>
    <w:link w:val="Heading1Char"/>
    <w:uiPriority w:val="9"/>
    <w:qFormat/>
    <w:rsid w:val="003572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1Char">
    <w:name w:val="Heading 1 Char"/>
    <w:basedOn w:val="DefaultParagraphFont"/>
    <w:link w:val="Heading1"/>
    <w:uiPriority w:val="9"/>
    <w:rsid w:val="0035728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967079">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825326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87161">
      <w:bodyDiv w:val="1"/>
      <w:marLeft w:val="0"/>
      <w:marRight w:val="0"/>
      <w:marTop w:val="0"/>
      <w:marBottom w:val="0"/>
      <w:divBdr>
        <w:top w:val="none" w:sz="0" w:space="0" w:color="auto"/>
        <w:left w:val="none" w:sz="0" w:space="0" w:color="auto"/>
        <w:bottom w:val="none" w:sz="0" w:space="0" w:color="auto"/>
        <w:right w:val="none" w:sz="0" w:space="0" w:color="auto"/>
      </w:divBdr>
      <w:divsChild>
        <w:div w:id="26876083">
          <w:marLeft w:val="0"/>
          <w:marRight w:val="0"/>
          <w:marTop w:val="0"/>
          <w:marBottom w:val="0"/>
          <w:divBdr>
            <w:top w:val="none" w:sz="0" w:space="0" w:color="auto"/>
            <w:left w:val="none" w:sz="0" w:space="0" w:color="auto"/>
            <w:bottom w:val="none" w:sz="0" w:space="0" w:color="auto"/>
            <w:right w:val="none" w:sz="0" w:space="0" w:color="auto"/>
          </w:divBdr>
        </w:div>
      </w:divsChild>
    </w:div>
    <w:div w:id="749352542">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1318807303">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 w:id="289943828">
          <w:marLeft w:val="1440"/>
          <w:marRight w:val="0"/>
          <w:marTop w:val="91"/>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979774535">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228659943">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hac-aspc.gc.ca/publicat/cig-gci/index-eng.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aai.org/Aaaai/media/MediaLibrary/PDF%20Documents/Practice%20and%20Parameters/Egg-Allergy-and-Influenza-Vaccine-112111.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mmwr/preview/mmwrhtml/rr5117a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int/vaccines/en/yellowfever.shtml" TargetMode="External"/><Relationship Id="rId4" Type="http://schemas.openxmlformats.org/officeDocument/2006/relationships/settings" Target="settings.xml"/><Relationship Id="rId9" Type="http://schemas.openxmlformats.org/officeDocument/2006/relationships/hyperlink" Target="http://www.who.int/mediacentre/factsheets/fs100/en/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276E-4B3B-406A-8989-142841E0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1160</Words>
  <Characters>7588</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CBORD Group, Inc</Company>
  <LinksUpToDate>false</LinksUpToDate>
  <CharactersWithSpaces>8731</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Dittloff</dc:creator>
  <cp:lastModifiedBy>Eayres</cp:lastModifiedBy>
  <cp:revision>3</cp:revision>
  <cp:lastPrinted>2011-12-06T22:36:00Z</cp:lastPrinted>
  <dcterms:created xsi:type="dcterms:W3CDTF">2012-08-07T01:09:00Z</dcterms:created>
  <dcterms:modified xsi:type="dcterms:W3CDTF">2012-08-07T18:46:00Z</dcterms:modified>
</cp:coreProperties>
</file>