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C31F46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HL7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PC Co-Chair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 xml:space="preserve">Open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Meeting – </w:t>
      </w:r>
      <w:r w:rsidR="00396178">
        <w:rPr>
          <w:rFonts w:ascii="Calibri" w:hAnsi="Calibri" w:cs="Calibri"/>
          <w:b/>
          <w:color w:val="1F497D"/>
          <w:sz w:val="24"/>
          <w:szCs w:val="24"/>
        </w:rPr>
        <w:t>February 2</w:t>
      </w:r>
      <w:r w:rsidR="00A22898">
        <w:rPr>
          <w:rFonts w:ascii="Calibri" w:hAnsi="Calibri" w:cs="Calibri"/>
          <w:b/>
          <w:color w:val="1F497D"/>
          <w:sz w:val="24"/>
          <w:szCs w:val="24"/>
        </w:rPr>
        <w:t>, 2015</w:t>
      </w:r>
    </w:p>
    <w:p w:rsidR="0089712C" w:rsidRPr="00F57DF6" w:rsidRDefault="0089712C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Current WG Co-Chairs:  Elaine Ayres, Stephen Chu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Russ Leftwich, Michael Tan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 xml:space="preserve">Laura Heermann-Langford,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Jay Lyle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 Jean Duteau.</w:t>
      </w:r>
    </w:p>
    <w:p w:rsidR="008802CB" w:rsidRDefault="00CE26BF" w:rsidP="00CE26BF">
      <w:pPr>
        <w:rPr>
          <w:rFonts w:ascii="Calibri" w:hAnsi="Calibri" w:cs="Calibri"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Present </w:t>
      </w:r>
      <w:r w:rsidRPr="00F57DF6">
        <w:rPr>
          <w:rFonts w:ascii="Calibri" w:hAnsi="Calibri" w:cs="Calibri"/>
          <w:color w:val="1F497D"/>
          <w:sz w:val="24"/>
          <w:szCs w:val="24"/>
        </w:rPr>
        <w:t xml:space="preserve">– </w:t>
      </w:r>
    </w:p>
    <w:p w:rsidR="008802CB" w:rsidRDefault="0038184B" w:rsidP="008802CB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 xml:space="preserve">Elaine Ayres, Stephen Chu, Michael Tan, </w:t>
      </w:r>
      <w:r w:rsidR="001C7732">
        <w:rPr>
          <w:rFonts w:ascii="Calibri" w:hAnsi="Calibri" w:cs="Calibri"/>
          <w:b/>
          <w:color w:val="1F497D"/>
          <w:sz w:val="24"/>
          <w:szCs w:val="24"/>
        </w:rPr>
        <w:t xml:space="preserve">Matthew Graham, </w:t>
      </w:r>
      <w:r w:rsidR="00347D90">
        <w:rPr>
          <w:rFonts w:ascii="Calibri" w:hAnsi="Calibri" w:cs="Calibri"/>
          <w:b/>
          <w:color w:val="1F497D"/>
          <w:sz w:val="24"/>
          <w:szCs w:val="24"/>
        </w:rPr>
        <w:t>Jay Lyle</w:t>
      </w:r>
    </w:p>
    <w:p w:rsidR="00347D90" w:rsidRDefault="00347D90" w:rsidP="00CE26BF">
      <w:pPr>
        <w:rPr>
          <w:rFonts w:ascii="Calibri" w:hAnsi="Calibri" w:cs="Calibri"/>
          <w:b/>
          <w:color w:val="1F497D"/>
          <w:sz w:val="24"/>
          <w:szCs w:val="24"/>
        </w:rPr>
      </w:pPr>
    </w:p>
    <w:p w:rsidR="00396178" w:rsidRDefault="000E52B8" w:rsidP="00CE26BF">
      <w:pPr>
        <w:rPr>
          <w:rFonts w:ascii="Calibri" w:hAnsi="Calibri" w:cs="Calibri"/>
          <w:b/>
          <w:color w:val="1F497D"/>
          <w:sz w:val="24"/>
          <w:szCs w:val="24"/>
        </w:rPr>
      </w:pPr>
      <w:r w:rsidRPr="000E52B8">
        <w:rPr>
          <w:rFonts w:ascii="Calibri" w:hAnsi="Calibri" w:cs="Calibri"/>
          <w:b/>
          <w:color w:val="1F497D"/>
          <w:sz w:val="24"/>
          <w:szCs w:val="24"/>
        </w:rPr>
        <w:t>Absent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>(WG Co-Chairs) –</w:t>
      </w:r>
    </w:p>
    <w:p w:rsidR="0089712C" w:rsidRPr="00C3164A" w:rsidRDefault="0089712C" w:rsidP="00CE26BF">
      <w:pPr>
        <w:rPr>
          <w:rFonts w:cs="Calibri"/>
          <w:color w:val="0F243E" w:themeColor="text2" w:themeShade="80"/>
          <w:sz w:val="24"/>
          <w:szCs w:val="24"/>
          <w:u w:val="single"/>
        </w:rPr>
      </w:pPr>
      <w:r w:rsidRPr="00C3164A">
        <w:rPr>
          <w:rFonts w:cs="Calibri"/>
          <w:color w:val="0F243E" w:themeColor="text2" w:themeShade="80"/>
          <w:sz w:val="24"/>
          <w:szCs w:val="24"/>
          <w:u w:val="single"/>
        </w:rPr>
        <w:t>AGENDA</w:t>
      </w:r>
      <w:r w:rsidR="00347D90">
        <w:rPr>
          <w:rFonts w:cs="Calibri"/>
          <w:color w:val="0F243E" w:themeColor="text2" w:themeShade="80"/>
          <w:sz w:val="24"/>
          <w:szCs w:val="24"/>
          <w:u w:val="single"/>
        </w:rPr>
        <w:t xml:space="preserve"> and Notes</w:t>
      </w:r>
    </w:p>
    <w:p w:rsidR="0089712C" w:rsidRPr="00C3164A" w:rsidRDefault="00076EE4" w:rsidP="0089712C">
      <w:pPr>
        <w:pStyle w:val="ListParagraph"/>
        <w:numPr>
          <w:ilvl w:val="0"/>
          <w:numId w:val="12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>Roll Call</w:t>
      </w:r>
    </w:p>
    <w:p w:rsidR="004A0AEF" w:rsidRPr="008802CB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i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Current </w:t>
      </w:r>
      <w:r w:rsidR="004A0AEF" w:rsidRPr="00C3164A">
        <w:rPr>
          <w:rFonts w:asciiTheme="minorHAnsi" w:hAnsiTheme="minorHAnsi"/>
          <w:color w:val="0F243E" w:themeColor="text2" w:themeShade="80"/>
        </w:rPr>
        <w:t>DESD Polls</w:t>
      </w:r>
      <w:r w:rsidR="008802CB">
        <w:rPr>
          <w:rFonts w:asciiTheme="minorHAnsi" w:hAnsiTheme="minorHAnsi"/>
          <w:color w:val="0F243E" w:themeColor="text2" w:themeShade="80"/>
        </w:rPr>
        <w:t xml:space="preserve"> </w:t>
      </w:r>
    </w:p>
    <w:p w:rsidR="00DF11BD" w:rsidRPr="00C3164A" w:rsidRDefault="00396178" w:rsidP="004A0AEF">
      <w:pPr>
        <w:pStyle w:val="ListParagraph"/>
        <w:numPr>
          <w:ilvl w:val="1"/>
          <w:numId w:val="12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Four</w:t>
      </w:r>
      <w:r w:rsidR="00347D90">
        <w:rPr>
          <w:rFonts w:asciiTheme="minorHAnsi" w:hAnsiTheme="minorHAnsi"/>
          <w:color w:val="0F243E" w:themeColor="text2" w:themeShade="80"/>
        </w:rPr>
        <w:t xml:space="preserve"> – ok to date</w:t>
      </w:r>
    </w:p>
    <w:p w:rsidR="0089712C" w:rsidRDefault="00F30F07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Harmonization </w:t>
      </w:r>
      <w:r w:rsidR="00396178">
        <w:rPr>
          <w:rFonts w:asciiTheme="minorHAnsi" w:hAnsiTheme="minorHAnsi"/>
          <w:color w:val="0F243E" w:themeColor="text2" w:themeShade="80"/>
        </w:rPr>
        <w:t>proposal review</w:t>
      </w:r>
      <w:r w:rsidR="00347D90">
        <w:rPr>
          <w:rFonts w:asciiTheme="minorHAnsi" w:hAnsiTheme="minorHAnsi"/>
          <w:color w:val="0F243E" w:themeColor="text2" w:themeShade="80"/>
        </w:rPr>
        <w:t xml:space="preserve"> –  March 3-5</w:t>
      </w:r>
    </w:p>
    <w:p w:rsidR="00347D90" w:rsidRDefault="00347D90" w:rsidP="00347D90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E-mail and review – Stephen to review e-mails</w:t>
      </w:r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FHIR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FHIR reps for PC</w:t>
      </w:r>
      <w:r w:rsidR="00347D90">
        <w:rPr>
          <w:rFonts w:asciiTheme="minorHAnsi" w:hAnsiTheme="minorHAnsi"/>
          <w:color w:val="0F243E" w:themeColor="text2" w:themeShade="80"/>
        </w:rPr>
        <w:t xml:space="preserve"> – David Hay, Lloyd McKenzie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QA activities by resource</w:t>
      </w:r>
    </w:p>
    <w:p w:rsidR="00AC0EBB" w:rsidRDefault="00AC0EBB" w:rsidP="00AC0EBB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Jay will support clinicians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Argonaut representative</w:t>
      </w:r>
      <w:r w:rsidR="00AC0EBB">
        <w:rPr>
          <w:rFonts w:asciiTheme="minorHAnsi" w:hAnsiTheme="minorHAnsi"/>
          <w:color w:val="0F243E" w:themeColor="text2" w:themeShade="80"/>
        </w:rPr>
        <w:t xml:space="preserve"> to Patient Care</w:t>
      </w:r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Paris WGM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Attendance</w:t>
      </w:r>
      <w:r w:rsidR="0069483B">
        <w:rPr>
          <w:rFonts w:asciiTheme="minorHAnsi" w:hAnsiTheme="minorHAnsi"/>
          <w:color w:val="0F243E" w:themeColor="text2" w:themeShade="80"/>
        </w:rPr>
        <w:t xml:space="preserve"> – Michael, Jay, Laura?</w:t>
      </w:r>
    </w:p>
    <w:p w:rsidR="0069483B" w:rsidRDefault="0069483B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Three openings – delay elections until September? </w:t>
      </w:r>
    </w:p>
    <w:p w:rsidR="0069483B" w:rsidRDefault="0069483B" w:rsidP="0069483B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Motion -- Appoint co-chairs up for re-election in May 2015 to interim co-chair positions until October 2015 with the intention of holding elections in October 2015.   Move – Jay/Stephen   Abstain – 0, Negatives – 0, Approved - 4</w:t>
      </w:r>
    </w:p>
    <w:p w:rsidR="00396178" w:rsidRDefault="0039617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Monday Q3</w:t>
      </w:r>
    </w:p>
    <w:p w:rsidR="001B5708" w:rsidRDefault="001B5708" w:rsidP="0039617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Clinician Connectathon – scheduled for Friday </w:t>
      </w:r>
    </w:p>
    <w:p w:rsidR="00396178" w:rsidRDefault="00396178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Comments on ONC Roadmap</w:t>
      </w:r>
      <w:r w:rsidR="001B5708">
        <w:rPr>
          <w:rFonts w:asciiTheme="minorHAnsi" w:hAnsiTheme="minorHAnsi"/>
          <w:color w:val="0F243E" w:themeColor="text2" w:themeShade="80"/>
        </w:rPr>
        <w:t xml:space="preserve">  - send to Patient Care</w:t>
      </w:r>
    </w:p>
    <w:p w:rsidR="001B5708" w:rsidRDefault="001B5708" w:rsidP="001B5708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Dedicate February 23 PC call to discussion and response needed by March 1</w:t>
      </w:r>
    </w:p>
    <w:p w:rsidR="00DF11BD" w:rsidRPr="00C3164A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Project status updates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Care Plan – Stephen</w:t>
      </w:r>
    </w:p>
    <w:p w:rsidR="00D535CE" w:rsidRDefault="00581BD4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 xml:space="preserve">Will publish in </w:t>
      </w:r>
      <w:r w:rsidR="001B5708">
        <w:rPr>
          <w:rFonts w:asciiTheme="minorHAnsi" w:hAnsiTheme="minorHAnsi"/>
          <w:i/>
          <w:color w:val="0F243E" w:themeColor="text2" w:themeShade="80"/>
        </w:rPr>
        <w:t>February</w:t>
      </w:r>
    </w:p>
    <w:p w:rsidR="00BA096A" w:rsidRDefault="00BA096A" w:rsidP="00BA096A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BA096A">
        <w:rPr>
          <w:rFonts w:asciiTheme="minorHAnsi" w:hAnsiTheme="minorHAnsi"/>
          <w:color w:val="0F243E" w:themeColor="text2" w:themeShade="80"/>
        </w:rPr>
        <w:t>CCS – apply changes and send to publication</w:t>
      </w:r>
    </w:p>
    <w:p w:rsidR="00D535CE" w:rsidRPr="001B5708" w:rsidRDefault="001B5708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Conference call coming up on 2/3</w:t>
      </w:r>
    </w:p>
    <w:p w:rsidR="001B5708" w:rsidRDefault="001B5708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Still awaiting publication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Health Concern – Michael</w:t>
      </w:r>
    </w:p>
    <w:p w:rsidR="00D535CE" w:rsidRPr="00E20FF2" w:rsidRDefault="00396178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Next steps</w:t>
      </w:r>
      <w:r w:rsidR="00E20FF2">
        <w:rPr>
          <w:rFonts w:asciiTheme="minorHAnsi" w:hAnsiTheme="minorHAnsi"/>
          <w:i/>
          <w:color w:val="0F243E" w:themeColor="text2" w:themeShade="80"/>
        </w:rPr>
        <w:t xml:space="preserve"> – finish ballot reconciliation and publish this quarter</w:t>
      </w:r>
    </w:p>
    <w:p w:rsidR="00E20FF2" w:rsidRPr="00C3164A" w:rsidRDefault="00E20FF2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Next steps – model in FHIR or clinical models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Allergies and Intolerances – Elaine/Russ</w:t>
      </w:r>
    </w:p>
    <w:p w:rsidR="00D11E04" w:rsidRPr="00685A53" w:rsidRDefault="00685A53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lastRenderedPageBreak/>
        <w:t>Two proposals – HTA terms for SNOMED and LOINC</w:t>
      </w:r>
    </w:p>
    <w:p w:rsidR="00685A53" w:rsidRPr="00246C35" w:rsidRDefault="00685A53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PSS – Implementation Guide for Allergy and Intolerance</w:t>
      </w:r>
      <w:r w:rsidR="00246C35">
        <w:rPr>
          <w:rFonts w:asciiTheme="minorHAnsi" w:hAnsiTheme="minorHAnsi"/>
          <w:i/>
          <w:color w:val="0F243E" w:themeColor="text2" w:themeShade="80"/>
        </w:rPr>
        <w:t xml:space="preserve"> (add Jay)</w:t>
      </w:r>
    </w:p>
    <w:p w:rsidR="00246C35" w:rsidRDefault="00246C35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PSS – Terminology harmonization – SDWG, PC, Vocab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FHIR resources – </w:t>
      </w:r>
      <w:r w:rsidR="00076EE4">
        <w:rPr>
          <w:rFonts w:asciiTheme="minorHAnsi" w:hAnsiTheme="minorHAnsi"/>
          <w:color w:val="0F243E" w:themeColor="text2" w:themeShade="80"/>
        </w:rPr>
        <w:t>All</w:t>
      </w:r>
    </w:p>
    <w:p w:rsidR="000C0FF8" w:rsidRP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G-Forge comments</w:t>
      </w:r>
    </w:p>
    <w:p w:rsidR="00DF11BD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Anesthesia project – William</w:t>
      </w:r>
    </w:p>
    <w:p w:rsidR="00954C34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</w:t>
      </w:r>
      <w:r w:rsidR="00954C34">
        <w:rPr>
          <w:rFonts w:asciiTheme="minorHAnsi" w:hAnsiTheme="minorHAnsi"/>
          <w:color w:val="0F243E" w:themeColor="text2" w:themeShade="80"/>
        </w:rPr>
        <w:t xml:space="preserve"> – NI 2016 </w:t>
      </w:r>
      <w:proofErr w:type="spellStart"/>
      <w:r w:rsidR="00954C34"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>/showcase</w:t>
      </w:r>
      <w:r w:rsidR="00954C34">
        <w:rPr>
          <w:rFonts w:asciiTheme="minorHAnsi" w:hAnsiTheme="minorHAnsi"/>
          <w:color w:val="0F243E" w:themeColor="text2" w:themeShade="80"/>
        </w:rPr>
        <w:t xml:space="preserve"> with CIC</w:t>
      </w:r>
      <w:r>
        <w:rPr>
          <w:rFonts w:asciiTheme="minorHAnsi" w:hAnsiTheme="minorHAnsi"/>
          <w:color w:val="0F243E" w:themeColor="text2" w:themeShade="80"/>
        </w:rPr>
        <w:t>/IHE – June 2016 Geneva</w:t>
      </w:r>
      <w:r w:rsidR="00581BD4">
        <w:rPr>
          <w:rFonts w:asciiTheme="minorHAnsi" w:hAnsiTheme="minorHAnsi"/>
          <w:color w:val="0F243E" w:themeColor="text2" w:themeShade="80"/>
        </w:rPr>
        <w:t>.  Update from Laura.  There is project scope statement.</w:t>
      </w:r>
    </w:p>
    <w:p w:rsidR="007E0504" w:rsidRDefault="007E0504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Connectathon – programmers hammer out use cases with facilitators to validate connections for interoperability.  Need one sender and three receivers.  </w:t>
      </w:r>
    </w:p>
    <w:p w:rsidR="007E0504" w:rsidRDefault="007E0504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Then can demonstrate the achievements from the </w:t>
      </w:r>
      <w:proofErr w:type="spellStart"/>
      <w:r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 xml:space="preserve"> at the Showcase</w:t>
      </w:r>
    </w:p>
    <w:p w:rsidR="00BC43A2" w:rsidRDefault="00BC43A2" w:rsidP="007E0504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Vote – approve project scope statement with suggested changes and edits.    Move:  Russ/Laura    Abstain – 1, Negative – 0, Approve - 6</w:t>
      </w:r>
    </w:p>
    <w:p w:rsidR="009F3C28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Care Plan clinical model</w:t>
      </w:r>
      <w:r w:rsidR="001419B2">
        <w:rPr>
          <w:rFonts w:asciiTheme="minorHAnsi" w:hAnsiTheme="minorHAnsi"/>
          <w:color w:val="0F243E" w:themeColor="text2" w:themeShade="80"/>
        </w:rPr>
        <w:t xml:space="preserve"> – have PSS drafted</w:t>
      </w:r>
    </w:p>
    <w:p w:rsidR="006C0439" w:rsidRDefault="006C0439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Health Concern clinical model/FHIR</w:t>
      </w:r>
      <w:r w:rsidR="00E57553">
        <w:rPr>
          <w:rFonts w:asciiTheme="minorHAnsi" w:hAnsiTheme="minorHAnsi"/>
          <w:color w:val="0F243E" w:themeColor="text2" w:themeShade="80"/>
        </w:rPr>
        <w:t xml:space="preserve"> (vs. condition)</w:t>
      </w:r>
      <w:r w:rsidR="001419B2">
        <w:rPr>
          <w:rFonts w:asciiTheme="minorHAnsi" w:hAnsiTheme="minorHAnsi"/>
          <w:color w:val="0F243E" w:themeColor="text2" w:themeShade="80"/>
        </w:rPr>
        <w:t xml:space="preserve"> - pending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Other items for discussion?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Next PC WG Co-Chair call – Monday, </w:t>
      </w:r>
      <w:r w:rsidR="001419B2">
        <w:rPr>
          <w:rFonts w:asciiTheme="minorHAnsi" w:hAnsiTheme="minorHAnsi"/>
          <w:color w:val="0F243E" w:themeColor="text2" w:themeShade="80"/>
        </w:rPr>
        <w:t>March 2</w:t>
      </w:r>
      <w:bookmarkStart w:id="0" w:name="_GoBack"/>
      <w:bookmarkEnd w:id="0"/>
      <w:r w:rsidR="00076EE4">
        <w:rPr>
          <w:rFonts w:asciiTheme="minorHAnsi" w:hAnsiTheme="minorHAnsi"/>
          <w:color w:val="0F243E" w:themeColor="text2" w:themeShade="80"/>
        </w:rPr>
        <w:t>, 2015</w:t>
      </w:r>
      <w:r w:rsidR="00C3164A" w:rsidRPr="00C3164A">
        <w:rPr>
          <w:rFonts w:asciiTheme="minorHAnsi" w:hAnsiTheme="minorHAnsi"/>
          <w:color w:val="0F243E" w:themeColor="text2" w:themeShade="80"/>
        </w:rPr>
        <w:t xml:space="preserve"> at 5 PM ET.</w:t>
      </w:r>
    </w:p>
    <w:p w:rsidR="00C3164A" w:rsidRPr="00DF11BD" w:rsidRDefault="00C3164A" w:rsidP="00C3164A">
      <w:pPr>
        <w:pStyle w:val="ListParagraph"/>
        <w:rPr>
          <w:rFonts w:ascii="Georgia" w:hAnsi="Georgia"/>
        </w:rPr>
      </w:pP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E654C4" w:rsidRDefault="00E654C4" w:rsidP="00E654C4">
      <w:pPr>
        <w:rPr>
          <w:rFonts w:ascii="Calibri" w:hAnsi="Calibri" w:cs="Calibri"/>
          <w:color w:val="1F497D"/>
        </w:rPr>
      </w:pP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575D"/>
    <w:multiLevelType w:val="hybridMultilevel"/>
    <w:tmpl w:val="A6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C0FF8"/>
    <w:rsid w:val="000C633B"/>
    <w:rsid w:val="000C77CE"/>
    <w:rsid w:val="000D7584"/>
    <w:rsid w:val="000E111D"/>
    <w:rsid w:val="000E52B8"/>
    <w:rsid w:val="00121920"/>
    <w:rsid w:val="001258B2"/>
    <w:rsid w:val="0012714F"/>
    <w:rsid w:val="001419B2"/>
    <w:rsid w:val="0014339C"/>
    <w:rsid w:val="00150BA5"/>
    <w:rsid w:val="001604E7"/>
    <w:rsid w:val="00175D9D"/>
    <w:rsid w:val="001A0479"/>
    <w:rsid w:val="001A47AE"/>
    <w:rsid w:val="001B5708"/>
    <w:rsid w:val="001B658E"/>
    <w:rsid w:val="001C7732"/>
    <w:rsid w:val="001E14E9"/>
    <w:rsid w:val="001F27E6"/>
    <w:rsid w:val="002179E2"/>
    <w:rsid w:val="00226E88"/>
    <w:rsid w:val="00240099"/>
    <w:rsid w:val="00246C35"/>
    <w:rsid w:val="002566A3"/>
    <w:rsid w:val="00257D1F"/>
    <w:rsid w:val="002A1711"/>
    <w:rsid w:val="002B490B"/>
    <w:rsid w:val="002D05CC"/>
    <w:rsid w:val="002D326A"/>
    <w:rsid w:val="002F6EBC"/>
    <w:rsid w:val="003016C7"/>
    <w:rsid w:val="00313FAD"/>
    <w:rsid w:val="00337B72"/>
    <w:rsid w:val="00347D90"/>
    <w:rsid w:val="00365370"/>
    <w:rsid w:val="00366DC1"/>
    <w:rsid w:val="00372EB4"/>
    <w:rsid w:val="003740D5"/>
    <w:rsid w:val="0038184B"/>
    <w:rsid w:val="00384244"/>
    <w:rsid w:val="00393187"/>
    <w:rsid w:val="00396178"/>
    <w:rsid w:val="003A2565"/>
    <w:rsid w:val="003B0380"/>
    <w:rsid w:val="003C7BFA"/>
    <w:rsid w:val="003F64FD"/>
    <w:rsid w:val="0040423C"/>
    <w:rsid w:val="004279BC"/>
    <w:rsid w:val="00440067"/>
    <w:rsid w:val="00442E32"/>
    <w:rsid w:val="0045413E"/>
    <w:rsid w:val="00460212"/>
    <w:rsid w:val="00466907"/>
    <w:rsid w:val="00471996"/>
    <w:rsid w:val="00472F46"/>
    <w:rsid w:val="004773CE"/>
    <w:rsid w:val="00485684"/>
    <w:rsid w:val="004A0AEF"/>
    <w:rsid w:val="004A2399"/>
    <w:rsid w:val="004A74FC"/>
    <w:rsid w:val="004B3FC9"/>
    <w:rsid w:val="004B3FFE"/>
    <w:rsid w:val="004D23D6"/>
    <w:rsid w:val="004F60D4"/>
    <w:rsid w:val="00504B16"/>
    <w:rsid w:val="005050B0"/>
    <w:rsid w:val="0052539A"/>
    <w:rsid w:val="00531948"/>
    <w:rsid w:val="00536C41"/>
    <w:rsid w:val="00543E98"/>
    <w:rsid w:val="00545C1C"/>
    <w:rsid w:val="0057062A"/>
    <w:rsid w:val="00581BD4"/>
    <w:rsid w:val="00595C2E"/>
    <w:rsid w:val="005A6D39"/>
    <w:rsid w:val="005C14EF"/>
    <w:rsid w:val="005D2218"/>
    <w:rsid w:val="005D26FA"/>
    <w:rsid w:val="005E5247"/>
    <w:rsid w:val="005F4E11"/>
    <w:rsid w:val="00603023"/>
    <w:rsid w:val="00603355"/>
    <w:rsid w:val="00655539"/>
    <w:rsid w:val="00673BFD"/>
    <w:rsid w:val="0067498D"/>
    <w:rsid w:val="00676D8C"/>
    <w:rsid w:val="00685A53"/>
    <w:rsid w:val="0069483B"/>
    <w:rsid w:val="006C0439"/>
    <w:rsid w:val="007010E1"/>
    <w:rsid w:val="00703C97"/>
    <w:rsid w:val="00711428"/>
    <w:rsid w:val="00712C8F"/>
    <w:rsid w:val="00756C85"/>
    <w:rsid w:val="007616EA"/>
    <w:rsid w:val="00766681"/>
    <w:rsid w:val="00772187"/>
    <w:rsid w:val="007B3C4F"/>
    <w:rsid w:val="007C75FA"/>
    <w:rsid w:val="007D34D3"/>
    <w:rsid w:val="007D48F4"/>
    <w:rsid w:val="007D6615"/>
    <w:rsid w:val="007E0504"/>
    <w:rsid w:val="007F4D63"/>
    <w:rsid w:val="00833C8C"/>
    <w:rsid w:val="008447F2"/>
    <w:rsid w:val="00846856"/>
    <w:rsid w:val="0086694F"/>
    <w:rsid w:val="008802CB"/>
    <w:rsid w:val="00890483"/>
    <w:rsid w:val="008958A0"/>
    <w:rsid w:val="0089712C"/>
    <w:rsid w:val="008C0958"/>
    <w:rsid w:val="008C7A4D"/>
    <w:rsid w:val="008D2E99"/>
    <w:rsid w:val="00903394"/>
    <w:rsid w:val="00903DE0"/>
    <w:rsid w:val="0090785C"/>
    <w:rsid w:val="00917C40"/>
    <w:rsid w:val="00924D87"/>
    <w:rsid w:val="009272AF"/>
    <w:rsid w:val="00943730"/>
    <w:rsid w:val="00952C17"/>
    <w:rsid w:val="009543A7"/>
    <w:rsid w:val="00954C34"/>
    <w:rsid w:val="009729F4"/>
    <w:rsid w:val="00983566"/>
    <w:rsid w:val="009971FD"/>
    <w:rsid w:val="009B740C"/>
    <w:rsid w:val="009E6EE2"/>
    <w:rsid w:val="009F3C28"/>
    <w:rsid w:val="009F5465"/>
    <w:rsid w:val="00A04488"/>
    <w:rsid w:val="00A140FB"/>
    <w:rsid w:val="00A1465E"/>
    <w:rsid w:val="00A22898"/>
    <w:rsid w:val="00A24605"/>
    <w:rsid w:val="00A33762"/>
    <w:rsid w:val="00A36D55"/>
    <w:rsid w:val="00A50266"/>
    <w:rsid w:val="00A56C4E"/>
    <w:rsid w:val="00A80EDF"/>
    <w:rsid w:val="00A91C74"/>
    <w:rsid w:val="00AA06B4"/>
    <w:rsid w:val="00AA40E9"/>
    <w:rsid w:val="00AA58FB"/>
    <w:rsid w:val="00AA6017"/>
    <w:rsid w:val="00AB56D2"/>
    <w:rsid w:val="00AC0EBB"/>
    <w:rsid w:val="00AD51E4"/>
    <w:rsid w:val="00AE59C7"/>
    <w:rsid w:val="00AF7A7B"/>
    <w:rsid w:val="00B16153"/>
    <w:rsid w:val="00B248F1"/>
    <w:rsid w:val="00B367A6"/>
    <w:rsid w:val="00B411DD"/>
    <w:rsid w:val="00B515F2"/>
    <w:rsid w:val="00B56B8F"/>
    <w:rsid w:val="00B6273E"/>
    <w:rsid w:val="00B7201A"/>
    <w:rsid w:val="00B9438D"/>
    <w:rsid w:val="00BA096A"/>
    <w:rsid w:val="00BC0BD6"/>
    <w:rsid w:val="00BC43A2"/>
    <w:rsid w:val="00BE6C38"/>
    <w:rsid w:val="00BE7E98"/>
    <w:rsid w:val="00BF0E9C"/>
    <w:rsid w:val="00C13D7B"/>
    <w:rsid w:val="00C27699"/>
    <w:rsid w:val="00C3164A"/>
    <w:rsid w:val="00C31F46"/>
    <w:rsid w:val="00C34604"/>
    <w:rsid w:val="00C3530B"/>
    <w:rsid w:val="00C35BB5"/>
    <w:rsid w:val="00C375E2"/>
    <w:rsid w:val="00C40B0B"/>
    <w:rsid w:val="00C55295"/>
    <w:rsid w:val="00C83497"/>
    <w:rsid w:val="00C94D90"/>
    <w:rsid w:val="00CB0492"/>
    <w:rsid w:val="00CD415D"/>
    <w:rsid w:val="00CD4EFD"/>
    <w:rsid w:val="00CE26BF"/>
    <w:rsid w:val="00CE5D84"/>
    <w:rsid w:val="00D10825"/>
    <w:rsid w:val="00D11E04"/>
    <w:rsid w:val="00D30C8E"/>
    <w:rsid w:val="00D31B73"/>
    <w:rsid w:val="00D45B6B"/>
    <w:rsid w:val="00D535CE"/>
    <w:rsid w:val="00D807FA"/>
    <w:rsid w:val="00DA0E2C"/>
    <w:rsid w:val="00DA6736"/>
    <w:rsid w:val="00DB58D7"/>
    <w:rsid w:val="00DC7DF4"/>
    <w:rsid w:val="00DD5FD9"/>
    <w:rsid w:val="00DE17FA"/>
    <w:rsid w:val="00DF11BD"/>
    <w:rsid w:val="00DF43A0"/>
    <w:rsid w:val="00E03574"/>
    <w:rsid w:val="00E20FF2"/>
    <w:rsid w:val="00E57553"/>
    <w:rsid w:val="00E649E4"/>
    <w:rsid w:val="00E654C4"/>
    <w:rsid w:val="00E740DF"/>
    <w:rsid w:val="00EA756D"/>
    <w:rsid w:val="00EC10E2"/>
    <w:rsid w:val="00ED1BC3"/>
    <w:rsid w:val="00EE2032"/>
    <w:rsid w:val="00F1269B"/>
    <w:rsid w:val="00F30F07"/>
    <w:rsid w:val="00F510D4"/>
    <w:rsid w:val="00F562D0"/>
    <w:rsid w:val="00F57DF6"/>
    <w:rsid w:val="00F96417"/>
    <w:rsid w:val="00FB234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2302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Administrator</cp:lastModifiedBy>
  <cp:revision>10</cp:revision>
  <dcterms:created xsi:type="dcterms:W3CDTF">2015-02-02T21:55:00Z</dcterms:created>
  <dcterms:modified xsi:type="dcterms:W3CDTF">2015-02-02T22:46:00Z</dcterms:modified>
</cp:coreProperties>
</file>