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9" w:rsidRDefault="00791BB9" w:rsidP="006D4916">
      <w:pPr>
        <w:pStyle w:val="Title"/>
      </w:pPr>
      <w:r>
        <w:t xml:space="preserve">2013 </w:t>
      </w:r>
      <w:r w:rsidR="00196BC8">
        <w:t xml:space="preserve">HL7 Education </w:t>
      </w:r>
      <w:r>
        <w:t>Schedule</w:t>
      </w:r>
    </w:p>
    <w:p w:rsidR="00141BB6" w:rsidRDefault="00141BB6" w:rsidP="00141BB6">
      <w:pPr>
        <w:pStyle w:val="Heading1"/>
        <w:rPr>
          <w:rStyle w:val="Heading2Char"/>
          <w:b/>
          <w:bCs/>
          <w:color w:val="365F91" w:themeColor="accent1" w:themeShade="BF"/>
          <w:sz w:val="28"/>
          <w:szCs w:val="28"/>
        </w:rPr>
      </w:pPr>
      <w:proofErr w:type="gramStart"/>
      <w:r>
        <w:rPr>
          <w:rStyle w:val="Heading2Char"/>
          <w:b/>
          <w:bCs/>
          <w:color w:val="365F91" w:themeColor="accent1" w:themeShade="BF"/>
          <w:sz w:val="28"/>
          <w:szCs w:val="28"/>
        </w:rPr>
        <w:t>eLearning</w:t>
      </w:r>
      <w:proofErr w:type="gramEnd"/>
      <w:r>
        <w:rPr>
          <w:rStyle w:val="Heading2Char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E569B8" w:rsidRDefault="00791BB9" w:rsidP="00141BB6">
      <w:pPr>
        <w:pStyle w:val="NoSpacing"/>
      </w:pPr>
      <w:r>
        <w:rPr>
          <w:rStyle w:val="Heading2Char"/>
        </w:rPr>
        <w:t>Instructor</w:t>
      </w:r>
      <w:r w:rsidR="00141BB6">
        <w:rPr>
          <w:rStyle w:val="Heading2Char"/>
        </w:rPr>
        <w:t xml:space="preserve">-facilitated </w:t>
      </w:r>
      <w:r w:rsidR="00F511FA" w:rsidRPr="006D4916">
        <w:rPr>
          <w:rStyle w:val="Heading2Char"/>
        </w:rPr>
        <w:t>Online Course</w:t>
      </w:r>
      <w:r w:rsidR="006D4916">
        <w:rPr>
          <w:rStyle w:val="Heading2Char"/>
        </w:rPr>
        <w:t>s</w:t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</w:p>
    <w:p w:rsidR="00791BB9" w:rsidRDefault="00791BB9" w:rsidP="00141BB6">
      <w:pPr>
        <w:pStyle w:val="NoSpacing"/>
      </w:pPr>
      <w:proofErr w:type="spellStart"/>
      <w:r>
        <w:t>Students</w:t>
      </w:r>
      <w:proofErr w:type="spellEnd"/>
      <w:r>
        <w:t xml:space="preserve"> progress at their own pace within the parameters of assignment deadlines. Instructor assistance and feedback is offered online. Discussion Forums promote an</w:t>
      </w:r>
      <w:r w:rsidR="00141BB6">
        <w:t xml:space="preserve"> interactive online community among</w:t>
      </w:r>
      <w:r>
        <w:t xml:space="preserve"> learners. </w:t>
      </w:r>
      <w:r w:rsidR="00141BB6">
        <w:t xml:space="preserve">A certificate of completion is awarded to all who successfully complete the program. </w:t>
      </w:r>
    </w:p>
    <w:p w:rsidR="00141BB6" w:rsidRDefault="00141BB6" w:rsidP="00141B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141BB6" w:rsidRDefault="00141BB6" w:rsidP="006B51DF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1DF">
        <w:t xml:space="preserve">Start </w:t>
      </w:r>
      <w:r w:rsidRPr="00CD29CB">
        <w:rPr>
          <w:rStyle w:val="Heading2Char"/>
        </w:rPr>
        <w:t>Dates</w:t>
      </w:r>
    </w:p>
    <w:p w:rsidR="00791BB9" w:rsidRPr="00141BB6" w:rsidRDefault="00791BB9" w:rsidP="00791BB9">
      <w:proofErr w:type="gramStart"/>
      <w:r w:rsidRPr="005D3C66">
        <w:rPr>
          <w:b/>
        </w:rPr>
        <w:t xml:space="preserve">Introduction to HL7 </w:t>
      </w:r>
      <w:r w:rsidRPr="006B51DF">
        <w:rPr>
          <w:b/>
        </w:rPr>
        <w:t>Standards</w:t>
      </w:r>
      <w:r w:rsidRPr="00521D14">
        <w:rPr>
          <w:i/>
        </w:rPr>
        <w:t xml:space="preserve"> (14 wks.)</w:t>
      </w:r>
      <w:proofErr w:type="gramEnd"/>
      <w:r w:rsidR="006B51DF">
        <w:rPr>
          <w:i/>
        </w:rPr>
        <w:tab/>
      </w:r>
      <w:r w:rsidR="006B51DF">
        <w:rPr>
          <w:i/>
        </w:rPr>
        <w:tab/>
      </w:r>
      <w:r w:rsidR="006B51DF">
        <w:rPr>
          <w:i/>
        </w:rPr>
        <w:tab/>
      </w:r>
      <w:r w:rsidR="006B51DF">
        <w:rPr>
          <w:i/>
        </w:rPr>
        <w:tab/>
      </w:r>
      <w:r w:rsidR="006B51DF">
        <w:rPr>
          <w:i/>
        </w:rPr>
        <w:tab/>
      </w:r>
      <w:r w:rsidR="000E32BB">
        <w:t xml:space="preserve">March &amp; </w:t>
      </w:r>
      <w:r w:rsidR="00141BB6">
        <w:t>August</w:t>
      </w:r>
    </w:p>
    <w:p w:rsidR="00791BB9" w:rsidRPr="00D15EE1" w:rsidRDefault="00791BB9" w:rsidP="00791BB9">
      <w:proofErr w:type="gramStart"/>
      <w:r w:rsidRPr="006B51DF">
        <w:rPr>
          <w:b/>
        </w:rPr>
        <w:t>Introduction to V3 and CDA</w:t>
      </w:r>
      <w:r w:rsidRPr="006B51DF">
        <w:rPr>
          <w:rFonts w:cstheme="minorHAnsi"/>
          <w:b/>
        </w:rPr>
        <w:t>®</w:t>
      </w:r>
      <w:r w:rsidR="00141BB6">
        <w:rPr>
          <w:rFonts w:cstheme="minorHAnsi"/>
          <w:i/>
        </w:rPr>
        <w:t xml:space="preserve"> </w:t>
      </w:r>
      <w:r w:rsidR="00D15EE1">
        <w:rPr>
          <w:rFonts w:cstheme="minorHAnsi"/>
          <w:i/>
        </w:rPr>
        <w:t>(7 wks.)</w:t>
      </w:r>
      <w:proofErr w:type="gramEnd"/>
      <w:r w:rsidR="00D15EE1">
        <w:rPr>
          <w:rFonts w:cstheme="minorHAnsi"/>
          <w:i/>
        </w:rPr>
        <w:tab/>
      </w:r>
      <w:r w:rsidR="00D15EE1">
        <w:rPr>
          <w:rFonts w:cstheme="minorHAnsi"/>
          <w:i/>
        </w:rPr>
        <w:tab/>
      </w:r>
      <w:r w:rsidR="00D15EE1">
        <w:rPr>
          <w:rFonts w:cstheme="minorHAnsi"/>
          <w:i/>
        </w:rPr>
        <w:tab/>
      </w:r>
      <w:r w:rsidR="00D15EE1">
        <w:rPr>
          <w:rFonts w:cstheme="minorHAnsi"/>
          <w:i/>
        </w:rPr>
        <w:tab/>
      </w:r>
      <w:r w:rsidR="00D15EE1">
        <w:rPr>
          <w:rFonts w:cstheme="minorHAnsi"/>
          <w:i/>
        </w:rPr>
        <w:tab/>
      </w:r>
      <w:r w:rsidR="00D15EE1">
        <w:rPr>
          <w:rFonts w:cstheme="minorHAnsi"/>
          <w:i/>
        </w:rPr>
        <w:tab/>
      </w:r>
      <w:r w:rsidR="000E32BB">
        <w:t>March &amp; August</w:t>
      </w:r>
    </w:p>
    <w:p w:rsidR="00791BB9" w:rsidRPr="00521D14" w:rsidRDefault="00791BB9" w:rsidP="00D15EE1">
      <w:pPr>
        <w:tabs>
          <w:tab w:val="left" w:pos="6420"/>
        </w:tabs>
        <w:rPr>
          <w:i/>
        </w:rPr>
      </w:pPr>
      <w:proofErr w:type="gramStart"/>
      <w:r w:rsidRPr="006B51DF">
        <w:rPr>
          <w:b/>
        </w:rPr>
        <w:t>Introduction to HL7 V2.x</w:t>
      </w:r>
      <w:r w:rsidR="00D15EE1">
        <w:rPr>
          <w:i/>
        </w:rPr>
        <w:t xml:space="preserve"> (4 wks.)</w:t>
      </w:r>
      <w:proofErr w:type="gramEnd"/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0E32BB">
        <w:t>March &amp; August</w:t>
      </w:r>
    </w:p>
    <w:p w:rsidR="00791BB9" w:rsidRDefault="00791BB9" w:rsidP="00791BB9">
      <w:pPr>
        <w:pStyle w:val="NoSpacing"/>
        <w:rPr>
          <w:i/>
        </w:rPr>
      </w:pPr>
      <w:proofErr w:type="gramStart"/>
      <w:r w:rsidRPr="006B51DF">
        <w:rPr>
          <w:b/>
        </w:rPr>
        <w:t>Introduction to HL7 V3</w:t>
      </w:r>
      <w:r w:rsidR="00D15EE1">
        <w:rPr>
          <w:i/>
        </w:rPr>
        <w:t xml:space="preserve"> (4 wks.)</w:t>
      </w:r>
      <w:proofErr w:type="gramEnd"/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0E32BB">
        <w:t>March &amp; August</w:t>
      </w:r>
    </w:p>
    <w:p w:rsidR="00141BB6" w:rsidRDefault="00141BB6" w:rsidP="00791BB9">
      <w:pPr>
        <w:pStyle w:val="NoSpacing"/>
      </w:pPr>
    </w:p>
    <w:p w:rsidR="00141BB6" w:rsidRPr="00D15EE1" w:rsidRDefault="006B51DF" w:rsidP="00141BB6">
      <w:pPr>
        <w:pStyle w:val="NoSpacing"/>
        <w:rPr>
          <w:i/>
        </w:rPr>
      </w:pPr>
      <w:r>
        <w:rPr>
          <w:b/>
          <w:i/>
        </w:rPr>
        <w:t>NEW</w:t>
      </w:r>
      <w:r w:rsidR="00D15EE1">
        <w:rPr>
          <w:b/>
          <w:i/>
        </w:rPr>
        <w:t xml:space="preserve"> </w:t>
      </w:r>
      <w:r w:rsidR="00141BB6" w:rsidRPr="006B51DF">
        <w:rPr>
          <w:b/>
        </w:rPr>
        <w:t>How Nurses Can Use HL7</w:t>
      </w:r>
      <w:r w:rsidR="00E32A42">
        <w:rPr>
          <w:i/>
        </w:rPr>
        <w:t xml:space="preserve"> (3</w:t>
      </w:r>
      <w:r w:rsidR="00D15EE1">
        <w:rPr>
          <w:i/>
        </w:rPr>
        <w:t xml:space="preserve"> wks.) </w:t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rPr>
          <w:i/>
        </w:rPr>
        <w:tab/>
      </w:r>
      <w:r w:rsidR="00D15EE1">
        <w:t>June</w:t>
      </w:r>
      <w:r w:rsidR="00141BB6" w:rsidRPr="00D15EE1">
        <w:t xml:space="preserve"> </w:t>
      </w:r>
      <w:r w:rsidR="000E32BB">
        <w:t>Tentative</w:t>
      </w:r>
    </w:p>
    <w:p w:rsidR="00141BB6" w:rsidRDefault="00141BB6" w:rsidP="00791BB9">
      <w:pPr>
        <w:pStyle w:val="NoSpacing"/>
      </w:pPr>
    </w:p>
    <w:p w:rsidR="00D15EE1" w:rsidRDefault="00D15EE1" w:rsidP="00D15EE1">
      <w:pPr>
        <w:pStyle w:val="Heading2"/>
      </w:pPr>
      <w:r>
        <w:t>Self-paced Online Courses</w:t>
      </w:r>
    </w:p>
    <w:p w:rsidR="00D15EE1" w:rsidRDefault="00D15EE1" w:rsidP="00791BB9">
      <w:pPr>
        <w:pStyle w:val="NoSpacing"/>
      </w:pPr>
    </w:p>
    <w:p w:rsidR="00E569B8" w:rsidRDefault="00D15EE1" w:rsidP="00F511FA">
      <w:pPr>
        <w:pStyle w:val="NoSpacing"/>
      </w:pPr>
      <w:proofErr w:type="spellStart"/>
      <w:r>
        <w:t>Students</w:t>
      </w:r>
      <w:proofErr w:type="spellEnd"/>
      <w:r>
        <w:t xml:space="preserve"> progress at their own pace with no as</w:t>
      </w:r>
      <w:r w:rsidR="005D3C66">
        <w:t xml:space="preserve">signment </w:t>
      </w:r>
      <w:r>
        <w:t>deadlines or instructor support</w:t>
      </w:r>
      <w:r w:rsidR="005D3C66">
        <w:t xml:space="preserve">. </w:t>
      </w:r>
      <w:r w:rsidR="00E32A42">
        <w:t>Lectures captured from live workshops and s</w:t>
      </w:r>
      <w:r w:rsidR="005D3C66">
        <w:t>elf-assessments with automatic feedback are included for each module. The course is available on demand after registration</w:t>
      </w:r>
      <w:r w:rsidR="00127317">
        <w:t xml:space="preserve"> and does not expire but allows students to pick up where they left off</w:t>
      </w:r>
      <w:r w:rsidR="005D3C66">
        <w:t>.</w:t>
      </w:r>
      <w:r w:rsidR="00E569B8">
        <w:t xml:space="preserve"> </w:t>
      </w:r>
    </w:p>
    <w:p w:rsidR="005D3C66" w:rsidRPr="005D3C66" w:rsidRDefault="005D3C66" w:rsidP="005D3C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9B8" w:rsidRDefault="00E569B8" w:rsidP="00F511FA">
      <w:pPr>
        <w:pStyle w:val="NoSpacing"/>
      </w:pPr>
      <w:r w:rsidRPr="006B51DF">
        <w:rPr>
          <w:b/>
        </w:rPr>
        <w:t xml:space="preserve">Introduction to Version </w:t>
      </w:r>
      <w:proofErr w:type="gramStart"/>
      <w:r w:rsidRPr="006B51DF">
        <w:rPr>
          <w:b/>
        </w:rPr>
        <w:t>2</w:t>
      </w:r>
      <w:r w:rsidR="005D3C66" w:rsidRPr="006B51DF">
        <w:rPr>
          <w:b/>
        </w:rPr>
        <w:t>.</w:t>
      </w:r>
      <w:r w:rsidR="00791BB9" w:rsidRPr="006B51DF">
        <w:rPr>
          <w:b/>
        </w:rPr>
        <w:t>x</w:t>
      </w:r>
      <w:r w:rsidR="006B51DF">
        <w:t xml:space="preserve">  (</w:t>
      </w:r>
      <w:proofErr w:type="gramEnd"/>
      <w:r w:rsidR="006B51DF">
        <w:t>Launch in February)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916" w:rsidRDefault="006D4916" w:rsidP="00F511FA">
      <w:pPr>
        <w:pStyle w:val="NoSpacing"/>
      </w:pPr>
    </w:p>
    <w:p w:rsidR="006D4916" w:rsidRDefault="006D4916" w:rsidP="00F511FA">
      <w:pPr>
        <w:pStyle w:val="NoSpacing"/>
      </w:pPr>
      <w:r w:rsidRPr="006B51DF">
        <w:rPr>
          <w:b/>
        </w:rPr>
        <w:t>Introduction to CDA</w:t>
      </w:r>
      <w:proofErr w:type="gramStart"/>
      <w:r w:rsidR="00791BB9" w:rsidRPr="006B51DF">
        <w:rPr>
          <w:rFonts w:cstheme="minorHAnsi"/>
          <w:b/>
        </w:rPr>
        <w:t>®</w:t>
      </w:r>
      <w:r w:rsidR="006B51DF">
        <w:t xml:space="preserve">  (</w:t>
      </w:r>
      <w:proofErr w:type="gramEnd"/>
      <w:r w:rsidR="006B51DF">
        <w:t>Launch in July)</w:t>
      </w:r>
      <w:r w:rsidR="00CD29CB">
        <w:tab/>
      </w:r>
      <w:r w:rsidR="00CD29CB">
        <w:tab/>
      </w:r>
      <w:r w:rsidR="00CD29CB">
        <w:tab/>
      </w:r>
      <w:r w:rsidR="00CD29CB">
        <w:tab/>
      </w:r>
      <w:r w:rsidR="00CD29CB">
        <w:tab/>
      </w:r>
      <w:r w:rsidR="00CD29CB">
        <w:tab/>
      </w:r>
      <w:r w:rsidR="00CD29CB">
        <w:tab/>
      </w:r>
    </w:p>
    <w:p w:rsidR="006D4916" w:rsidRDefault="006D4916" w:rsidP="00F511FA">
      <w:pPr>
        <w:pStyle w:val="NoSpacing"/>
      </w:pPr>
    </w:p>
    <w:p w:rsidR="006D4916" w:rsidRDefault="006D4916" w:rsidP="00F511FA">
      <w:pPr>
        <w:pStyle w:val="NoSpacing"/>
      </w:pPr>
      <w:r w:rsidRPr="006B51DF">
        <w:rPr>
          <w:b/>
        </w:rPr>
        <w:t>Introduction to Version 3</w:t>
      </w:r>
      <w:r w:rsidR="006B51DF">
        <w:t xml:space="preserve"> (Launch in </w:t>
      </w:r>
      <w:r w:rsidR="00CD29CB">
        <w:t>September</w:t>
      </w:r>
      <w:r w:rsidR="006B51DF">
        <w:t>)</w:t>
      </w:r>
    </w:p>
    <w:p w:rsidR="006D4916" w:rsidRDefault="006D4916" w:rsidP="00F511FA">
      <w:pPr>
        <w:pStyle w:val="NoSpacing"/>
      </w:pPr>
    </w:p>
    <w:p w:rsidR="006D4916" w:rsidRDefault="006D4916" w:rsidP="00F511FA">
      <w:pPr>
        <w:pStyle w:val="NoSpacing"/>
      </w:pPr>
      <w:r w:rsidRPr="006B51DF">
        <w:rPr>
          <w:b/>
        </w:rPr>
        <w:t>CCD</w:t>
      </w:r>
      <w:r w:rsidR="006B51DF">
        <w:t xml:space="preserve"> (Launch in </w:t>
      </w:r>
      <w:r w:rsidR="00E569B8">
        <w:t>October</w:t>
      </w:r>
      <w:r w:rsidR="006B51DF">
        <w:t>)</w:t>
      </w:r>
    </w:p>
    <w:p w:rsidR="006D4916" w:rsidRDefault="006D4916" w:rsidP="00F511FA">
      <w:pPr>
        <w:pStyle w:val="NoSpacing"/>
      </w:pPr>
    </w:p>
    <w:p w:rsidR="00F511FA" w:rsidRDefault="00F511FA" w:rsidP="00F511FA">
      <w:pPr>
        <w:pStyle w:val="NoSpacing"/>
      </w:pPr>
      <w:r w:rsidRPr="006D4916">
        <w:rPr>
          <w:rStyle w:val="Heading2Char"/>
        </w:rPr>
        <w:t>Webinars</w:t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</w:p>
    <w:p w:rsidR="005D3C66" w:rsidRDefault="005D3C66" w:rsidP="005D3C66">
      <w:pPr>
        <w:pStyle w:val="NoSpacing"/>
      </w:pPr>
      <w:r>
        <w:t xml:space="preserve">Webinars are </w:t>
      </w:r>
      <w:r w:rsidR="006B51DF">
        <w:t>web-delivered 90 minute presentations</w:t>
      </w:r>
      <w:r>
        <w:t xml:space="preserve"> </w:t>
      </w:r>
      <w:r w:rsidR="00480767">
        <w:t>and include a</w:t>
      </w:r>
      <w:r w:rsidR="006B51DF">
        <w:t xml:space="preserve"> 60 minute</w:t>
      </w:r>
      <w:r>
        <w:t xml:space="preserve"> </w:t>
      </w:r>
      <w:r w:rsidR="006B51DF">
        <w:t>lecture</w:t>
      </w:r>
      <w:r>
        <w:t xml:space="preserve"> </w:t>
      </w:r>
      <w:r w:rsidR="00480767">
        <w:t>with</w:t>
      </w:r>
    </w:p>
    <w:p w:rsidR="005D3C66" w:rsidRDefault="006B51DF" w:rsidP="005D3C66">
      <w:pPr>
        <w:pStyle w:val="NoSpacing"/>
      </w:pPr>
      <w:r>
        <w:t>30 minutes</w:t>
      </w:r>
      <w:r w:rsidR="00C86A77">
        <w:t xml:space="preserve"> of</w:t>
      </w:r>
      <w:r>
        <w:t xml:space="preserve"> </w:t>
      </w:r>
      <w:r w:rsidR="005D3C66">
        <w:t>Q&amp;A</w:t>
      </w:r>
      <w:r>
        <w:t>.</w:t>
      </w:r>
      <w:r w:rsidR="00C86A77">
        <w:t xml:space="preserve"> After the live presentation, webinars are archived for on-demand viewing.</w:t>
      </w:r>
    </w:p>
    <w:p w:rsidR="005D3C66" w:rsidRDefault="005D3C66" w:rsidP="00F511FA">
      <w:pPr>
        <w:pStyle w:val="NoSpacing"/>
      </w:pPr>
    </w:p>
    <w:p w:rsidR="005D3C66" w:rsidRPr="005D3C66" w:rsidRDefault="006D4916" w:rsidP="00F511FA">
      <w:pPr>
        <w:pStyle w:val="NoSpacing"/>
        <w:rPr>
          <w:b/>
        </w:rPr>
      </w:pPr>
      <w:r w:rsidRPr="005D3C66">
        <w:rPr>
          <w:b/>
        </w:rPr>
        <w:t xml:space="preserve">Requirements for </w:t>
      </w:r>
      <w:r w:rsidR="005D3C66" w:rsidRPr="005D3C66">
        <w:rPr>
          <w:b/>
        </w:rPr>
        <w:t>Stage 2 Meaningful Use</w:t>
      </w:r>
      <w:r w:rsidR="006B51DF">
        <w:rPr>
          <w:b/>
        </w:rPr>
        <w:t xml:space="preserve"> Series</w:t>
      </w:r>
      <w:r w:rsidR="00480767">
        <w:rPr>
          <w:b/>
        </w:rPr>
        <w:tab/>
      </w:r>
      <w:r w:rsidR="00480767">
        <w:rPr>
          <w:b/>
        </w:rPr>
        <w:tab/>
      </w:r>
      <w:r w:rsidR="00480767">
        <w:rPr>
          <w:b/>
        </w:rPr>
        <w:tab/>
      </w:r>
      <w:r w:rsidR="00480767">
        <w:rPr>
          <w:b/>
        </w:rPr>
        <w:tab/>
      </w:r>
      <w:r w:rsidR="00480767" w:rsidRPr="00CD29CB">
        <w:rPr>
          <w:rStyle w:val="Heading2Char"/>
        </w:rPr>
        <w:t>Dates</w:t>
      </w:r>
    </w:p>
    <w:p w:rsidR="00F511FA" w:rsidRDefault="005D3C66" w:rsidP="00F511FA">
      <w:pPr>
        <w:pStyle w:val="NoSpacing"/>
      </w:pPr>
      <w:r>
        <w:t xml:space="preserve">(Addresses </w:t>
      </w:r>
      <w:r w:rsidR="006D4916">
        <w:t>at least 8 standards)</w:t>
      </w:r>
      <w:r w:rsidR="00444383">
        <w:t xml:space="preserve"> </w:t>
      </w:r>
      <w:r w:rsidR="00444383" w:rsidRPr="00444383">
        <w:rPr>
          <w:b/>
          <w:color w:val="FF0000"/>
        </w:rPr>
        <w:t>Offer one per week instead</w:t>
      </w:r>
      <w:r w:rsidR="00444383">
        <w:rPr>
          <w:b/>
          <w:color w:val="FF0000"/>
        </w:rPr>
        <w:t xml:space="preserve"> of one per month</w:t>
      </w:r>
      <w:bookmarkStart w:id="0" w:name="_GoBack"/>
      <w:bookmarkEnd w:id="0"/>
      <w:r w:rsidR="00444383" w:rsidRPr="00444383">
        <w:rPr>
          <w:b/>
          <w:color w:val="FF0000"/>
        </w:rPr>
        <w:t>?</w:t>
      </w:r>
    </w:p>
    <w:p w:rsidR="00C2480B" w:rsidRDefault="00C2480B" w:rsidP="00F511FA">
      <w:pPr>
        <w:pStyle w:val="NoSpacing"/>
      </w:pPr>
    </w:p>
    <w:p w:rsidR="00F511FA" w:rsidRDefault="00F511FA" w:rsidP="00F511FA">
      <w:pPr>
        <w:pStyle w:val="NoSpacing"/>
      </w:pPr>
      <w:r>
        <w:t>Standard 1</w:t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</w:r>
      <w:r w:rsidR="006D4916">
        <w:tab/>
        <w:t>February 20</w:t>
      </w:r>
    </w:p>
    <w:p w:rsidR="00F511FA" w:rsidRDefault="00F511FA" w:rsidP="00F511FA">
      <w:pPr>
        <w:pStyle w:val="NoSpacing"/>
      </w:pPr>
    </w:p>
    <w:p w:rsidR="00F511FA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2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March 20</w:t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3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April 17</w:t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4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May 15</w:t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5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June 19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6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August 21 </w:t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7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October 16</w:t>
      </w:r>
    </w:p>
    <w:p w:rsidR="006D4916" w:rsidRDefault="006D4916" w:rsidP="00F511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Standard 8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November 20</w:t>
      </w:r>
    </w:p>
    <w:p w:rsidR="00F511FA" w:rsidRPr="005D3C66" w:rsidRDefault="005D3C66" w:rsidP="00F511FA">
      <w:pPr>
        <w:pStyle w:val="NoSpacing"/>
        <w:rPr>
          <w:b/>
        </w:rPr>
      </w:pPr>
      <w:r w:rsidRPr="005D3C66">
        <w:rPr>
          <w:b/>
        </w:rPr>
        <w:t>Exam Preparation Boot Camp</w:t>
      </w:r>
      <w:r>
        <w:rPr>
          <w:b/>
        </w:rPr>
        <w:t xml:space="preserve"> Webinar Series</w:t>
      </w:r>
      <w:r w:rsidR="00480767">
        <w:rPr>
          <w:b/>
        </w:rPr>
        <w:t>:</w:t>
      </w:r>
    </w:p>
    <w:p w:rsidR="005D3C66" w:rsidRDefault="005D3C66" w:rsidP="00F511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1FA" w:rsidRDefault="008A1CBF" w:rsidP="00F511FA">
      <w:pPr>
        <w:pStyle w:val="NoSpacing"/>
      </w:pPr>
      <w:r w:rsidRPr="00F37E6F">
        <w:rPr>
          <w:i/>
        </w:rPr>
        <w:t>Introduction to Version 2</w:t>
      </w:r>
      <w:r>
        <w:rPr>
          <w:b/>
        </w:rPr>
        <w:t xml:space="preserve"> </w:t>
      </w:r>
      <w:r>
        <w:t>(2-part series of 90-minute webinars)</w:t>
      </w:r>
      <w:r w:rsidR="00DD0D51">
        <w:tab/>
      </w:r>
      <w:r w:rsidR="00DD0D51">
        <w:tab/>
      </w:r>
      <w:r w:rsidR="00DD0D51">
        <w:tab/>
        <w:t>Jan 7 &amp; 9</w:t>
      </w:r>
    </w:p>
    <w:p w:rsidR="008A1CBF" w:rsidRDefault="008A1CBF" w:rsidP="00F511FA">
      <w:pPr>
        <w:pStyle w:val="NoSpacing"/>
      </w:pPr>
    </w:p>
    <w:p w:rsidR="008A1CBF" w:rsidRDefault="008A1CBF" w:rsidP="00F511FA">
      <w:pPr>
        <w:pStyle w:val="NoSpacing"/>
      </w:pPr>
      <w:r w:rsidRPr="00F37E6F">
        <w:rPr>
          <w:i/>
        </w:rPr>
        <w:t>Introduction to CDA</w:t>
      </w:r>
      <w:r w:rsidRPr="00F37E6F">
        <w:rPr>
          <w:rFonts w:cstheme="minorHAnsi"/>
          <w:i/>
        </w:rPr>
        <w:t>®</w:t>
      </w:r>
      <w:r>
        <w:rPr>
          <w:b/>
        </w:rPr>
        <w:t xml:space="preserve"> </w:t>
      </w:r>
      <w:r>
        <w:t>(2-part series of 90-minute webinars)</w:t>
      </w:r>
      <w:r w:rsidR="00DD0D51">
        <w:tab/>
      </w:r>
      <w:r w:rsidR="00DD0D51">
        <w:tab/>
      </w:r>
      <w:r w:rsidR="00DD0D51">
        <w:tab/>
        <w:t>Feb 4 &amp; 6</w:t>
      </w:r>
    </w:p>
    <w:p w:rsidR="008A1CBF" w:rsidRDefault="008A1CBF" w:rsidP="00F511FA">
      <w:pPr>
        <w:pStyle w:val="NoSpacing"/>
      </w:pPr>
    </w:p>
    <w:p w:rsidR="008A1CBF" w:rsidRPr="008A1CBF" w:rsidRDefault="008A1CBF" w:rsidP="00F511FA">
      <w:pPr>
        <w:pStyle w:val="NoSpacing"/>
        <w:rPr>
          <w:b/>
        </w:rPr>
      </w:pPr>
      <w:r w:rsidRPr="00F37E6F">
        <w:rPr>
          <w:i/>
        </w:rPr>
        <w:t>Advanced CDA</w:t>
      </w:r>
      <w:r w:rsidRPr="00F37E6F">
        <w:rPr>
          <w:rFonts w:cstheme="minorHAnsi"/>
          <w:i/>
        </w:rPr>
        <w:t>®</w:t>
      </w:r>
      <w:r>
        <w:rPr>
          <w:b/>
        </w:rPr>
        <w:t xml:space="preserve"> </w:t>
      </w:r>
      <w:r>
        <w:t>(2-part series of 90-minute webinars)</w:t>
      </w:r>
      <w:r w:rsidR="00DD0D51">
        <w:tab/>
      </w:r>
      <w:r w:rsidR="00DD0D51">
        <w:tab/>
      </w:r>
      <w:r w:rsidR="00DD0D51">
        <w:tab/>
      </w:r>
      <w:r w:rsidR="00DD0D51">
        <w:tab/>
        <w:t>Mar 4 &amp; 6</w:t>
      </w:r>
    </w:p>
    <w:p w:rsidR="008A1CBF" w:rsidRDefault="008A1CBF" w:rsidP="00F511FA">
      <w:pPr>
        <w:pStyle w:val="NoSpacing"/>
      </w:pPr>
    </w:p>
    <w:p w:rsidR="008A1CBF" w:rsidRDefault="00DD0D51" w:rsidP="00F511FA">
      <w:pPr>
        <w:pStyle w:val="NoSpacing"/>
      </w:pPr>
      <w:r w:rsidRPr="00F37E6F">
        <w:rPr>
          <w:i/>
        </w:rPr>
        <w:t>Introduction to Version</w:t>
      </w:r>
      <w:r w:rsidRPr="00DD0D51">
        <w:t xml:space="preserve"> </w:t>
      </w:r>
      <w:r w:rsidR="008A1CBF" w:rsidRPr="00DD0D51">
        <w:t>3</w:t>
      </w:r>
      <w:r w:rsidR="008A1CBF">
        <w:rPr>
          <w:b/>
        </w:rPr>
        <w:t xml:space="preserve"> </w:t>
      </w:r>
      <w:r w:rsidR="008A1CBF">
        <w:t>(2-part series of 90-minute webinars)</w:t>
      </w:r>
      <w:r>
        <w:tab/>
      </w:r>
      <w:r>
        <w:tab/>
      </w:r>
      <w:r>
        <w:tab/>
        <w:t>Apr 1 &amp; 3</w:t>
      </w:r>
    </w:p>
    <w:p w:rsidR="008A1CBF" w:rsidRPr="008A1CBF" w:rsidRDefault="008A1CBF" w:rsidP="00F511FA">
      <w:pPr>
        <w:pStyle w:val="NoSpacing"/>
      </w:pPr>
    </w:p>
    <w:p w:rsidR="00BA5A1B" w:rsidRDefault="00DD0D51" w:rsidP="00BA5A1B">
      <w:pPr>
        <w:pStyle w:val="NoSpacing"/>
      </w:pPr>
      <w:r w:rsidRPr="00F37E6F">
        <w:rPr>
          <w:i/>
        </w:rPr>
        <w:t>CCD</w:t>
      </w:r>
      <w:r>
        <w:rPr>
          <w:b/>
        </w:rPr>
        <w:t xml:space="preserve"> </w:t>
      </w:r>
      <w:r>
        <w:t>(2-part series of 90-minute webinars)</w:t>
      </w:r>
      <w:r>
        <w:tab/>
      </w:r>
      <w:r>
        <w:tab/>
      </w:r>
      <w:r>
        <w:tab/>
      </w:r>
      <w:r>
        <w:tab/>
      </w:r>
      <w:r>
        <w:tab/>
        <w:t>May 6 &amp; 8</w:t>
      </w:r>
    </w:p>
    <w:p w:rsidR="00FB6D26" w:rsidRDefault="00FB6D26" w:rsidP="00FB6D26">
      <w:pPr>
        <w:pStyle w:val="Heading2"/>
      </w:pPr>
      <w:r>
        <w:t>In-person Tutorials</w:t>
      </w:r>
    </w:p>
    <w:p w:rsidR="00BA5A1B" w:rsidRDefault="00BA5A1B" w:rsidP="00FB6D26">
      <w:pPr>
        <w:pStyle w:val="Heading2"/>
      </w:pPr>
      <w:r>
        <w:t>F2F Tutorials</w:t>
      </w:r>
    </w:p>
    <w:p w:rsidR="004F18EC" w:rsidRDefault="004F18EC" w:rsidP="004F18EC">
      <w:pPr>
        <w:pStyle w:val="NoSpacing"/>
      </w:pPr>
      <w:r>
        <w:t xml:space="preserve">Face-to-Face (F2F) tutorials are instructor-led, hands-on, interactive workshops offered during Working Group Meetings and Educational Summits. </w:t>
      </w:r>
    </w:p>
    <w:p w:rsidR="004F18EC" w:rsidRDefault="004F18EC" w:rsidP="004F18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9CB">
        <w:rPr>
          <w:rStyle w:val="Heading2Char"/>
        </w:rPr>
        <w:t>Dates</w:t>
      </w:r>
      <w:r>
        <w:tab/>
      </w:r>
    </w:p>
    <w:p w:rsidR="004F18EC" w:rsidRDefault="004F18EC" w:rsidP="004F18EC">
      <w:pPr>
        <w:pStyle w:val="NoSpacing"/>
      </w:pPr>
      <w:r w:rsidRPr="00F37E6F">
        <w:rPr>
          <w:i/>
        </w:rPr>
        <w:t>Working Group Meeting Tutorials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13-18, 2013</w:t>
      </w:r>
    </w:p>
    <w:p w:rsidR="000E32BB" w:rsidRPr="000E32BB" w:rsidRDefault="000E32BB" w:rsidP="004F18EC">
      <w:pPr>
        <w:pStyle w:val="NoSpacing"/>
      </w:pPr>
      <w:r w:rsidRPr="00F37E6F">
        <w:rPr>
          <w:i/>
        </w:rPr>
        <w:t xml:space="preserve">Include </w:t>
      </w:r>
      <w:r>
        <w:rPr>
          <w:i/>
        </w:rPr>
        <w:t>Meaningful Use Stage 2 Workshop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January 13</w:t>
      </w:r>
    </w:p>
    <w:p w:rsidR="004F18EC" w:rsidRDefault="004F18EC" w:rsidP="004F18EC">
      <w:pPr>
        <w:pStyle w:val="NoSpacing"/>
      </w:pPr>
      <w:r>
        <w:t>Phoenix, AZ</w:t>
      </w:r>
    </w:p>
    <w:p w:rsidR="004F18EC" w:rsidRDefault="004F18EC" w:rsidP="004F18EC">
      <w:pPr>
        <w:pStyle w:val="NoSpacing"/>
      </w:pPr>
    </w:p>
    <w:p w:rsidR="00AB508F" w:rsidRPr="00F37E6F" w:rsidRDefault="00AB508F" w:rsidP="00AB508F">
      <w:pPr>
        <w:pStyle w:val="NoSpacing"/>
        <w:rPr>
          <w:color w:val="FF0000"/>
        </w:rPr>
      </w:pPr>
      <w:r>
        <w:rPr>
          <w:color w:val="FF0000"/>
        </w:rPr>
        <w:t>HIMSS Annual Conference &amp; Exhibition (New Orleans)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March 3-7, 2013</w:t>
      </w:r>
    </w:p>
    <w:p w:rsidR="00AB508F" w:rsidRDefault="00AB508F" w:rsidP="00AB508F">
      <w:pPr>
        <w:pStyle w:val="NoSpacing"/>
        <w:rPr>
          <w:color w:val="FF0000"/>
        </w:rPr>
      </w:pPr>
      <w:r>
        <w:rPr>
          <w:color w:val="FF0000"/>
        </w:rPr>
        <w:t>AMIA Joint Summits on Translational Science (San Francisco)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March 18-22, 2013</w:t>
      </w:r>
    </w:p>
    <w:p w:rsidR="00AB508F" w:rsidRDefault="00AB508F" w:rsidP="004F18EC">
      <w:pPr>
        <w:pStyle w:val="NoSpacing"/>
      </w:pPr>
    </w:p>
    <w:p w:rsidR="00FB6D26" w:rsidRDefault="00FB6D26" w:rsidP="00FB6D26">
      <w:pPr>
        <w:pStyle w:val="NoSpacing"/>
      </w:pPr>
      <w:r w:rsidRPr="00F37E6F">
        <w:rPr>
          <w:i/>
        </w:rPr>
        <w:t>Meaningful Use Stage 2 Educational Summit</w:t>
      </w:r>
      <w:r>
        <w:tab/>
      </w:r>
      <w:r>
        <w:tab/>
      </w:r>
      <w:r>
        <w:tab/>
      </w:r>
      <w:r>
        <w:tab/>
      </w:r>
      <w:r>
        <w:tab/>
      </w:r>
      <w:r w:rsidR="000E32BB">
        <w:t>Early April</w:t>
      </w:r>
      <w:r>
        <w:t xml:space="preserve"> (TBD)</w:t>
      </w:r>
    </w:p>
    <w:p w:rsidR="00FB6D26" w:rsidRPr="004F18EC" w:rsidRDefault="00FB6D26" w:rsidP="00FB6D26">
      <w:pPr>
        <w:pStyle w:val="NoSpacing"/>
      </w:pPr>
      <w:r>
        <w:t>Place TBD (Washington DC, Chicago, San Francisco, Houston)</w:t>
      </w:r>
      <w:r w:rsidR="00471363">
        <w:tab/>
      </w:r>
      <w:r w:rsidR="00471363">
        <w:tab/>
      </w:r>
      <w:r w:rsidR="00471363">
        <w:tab/>
        <w:t xml:space="preserve">or last </w:t>
      </w:r>
      <w:proofErr w:type="spellStart"/>
      <w:r w:rsidR="00471363">
        <w:t>wk</w:t>
      </w:r>
      <w:proofErr w:type="spellEnd"/>
      <w:r w:rsidR="00471363">
        <w:t xml:space="preserve"> of March</w:t>
      </w:r>
    </w:p>
    <w:p w:rsidR="00FB6D26" w:rsidRDefault="00FB6D26" w:rsidP="004F18EC">
      <w:pPr>
        <w:pStyle w:val="NoSpacing"/>
      </w:pPr>
    </w:p>
    <w:p w:rsidR="00F37E6F" w:rsidRPr="00F37E6F" w:rsidRDefault="00F37E6F" w:rsidP="004F18EC">
      <w:pPr>
        <w:pStyle w:val="NoSpacing"/>
        <w:rPr>
          <w:color w:val="FF0000"/>
        </w:rPr>
      </w:pPr>
    </w:p>
    <w:p w:rsidR="000E32BB" w:rsidRDefault="004F18EC" w:rsidP="000E32BB">
      <w:pPr>
        <w:pStyle w:val="NoSpacing"/>
      </w:pPr>
      <w:r w:rsidRPr="00F37E6F">
        <w:rPr>
          <w:i/>
        </w:rPr>
        <w:t>Working Group Meeting Tutorials</w:t>
      </w:r>
      <w:r>
        <w:tab/>
      </w:r>
    </w:p>
    <w:p w:rsidR="004F18EC" w:rsidRPr="000E32BB" w:rsidRDefault="000E32BB" w:rsidP="004F18EC">
      <w:pPr>
        <w:pStyle w:val="NoSpacing"/>
        <w:rPr>
          <w:i/>
        </w:rPr>
      </w:pPr>
      <w:r w:rsidRPr="00F37E6F">
        <w:rPr>
          <w:i/>
        </w:rPr>
        <w:t>Include Meaningful Use Stage 2 Workshops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F18EC">
        <w:t>May 5 – 10, 2013</w:t>
      </w:r>
    </w:p>
    <w:p w:rsidR="004F18EC" w:rsidRDefault="004F18EC" w:rsidP="004F18EC">
      <w:pPr>
        <w:pStyle w:val="NoSpacing"/>
      </w:pPr>
      <w:r>
        <w:t>Atlanta, GA</w:t>
      </w:r>
    </w:p>
    <w:p w:rsidR="0053280F" w:rsidRDefault="0053280F" w:rsidP="004F18EC">
      <w:pPr>
        <w:pStyle w:val="NoSpacing"/>
      </w:pPr>
    </w:p>
    <w:p w:rsidR="0053280F" w:rsidRDefault="0053280F" w:rsidP="0053280F">
      <w:pPr>
        <w:pStyle w:val="NoSpacing"/>
      </w:pPr>
      <w:r w:rsidRPr="00F37E6F">
        <w:rPr>
          <w:i/>
        </w:rPr>
        <w:t>Meaningful Use Educational Summit</w:t>
      </w:r>
      <w:r>
        <w:tab/>
      </w:r>
      <w:r>
        <w:tab/>
      </w:r>
      <w:r>
        <w:tab/>
      </w:r>
      <w:r>
        <w:tab/>
      </w:r>
      <w:r>
        <w:tab/>
      </w:r>
      <w:r>
        <w:tab/>
        <w:t>July (TBD)</w:t>
      </w:r>
    </w:p>
    <w:p w:rsidR="0053280F" w:rsidRPr="004F18EC" w:rsidRDefault="0053280F" w:rsidP="0053280F">
      <w:pPr>
        <w:pStyle w:val="NoSpacing"/>
      </w:pPr>
      <w:r>
        <w:lastRenderedPageBreak/>
        <w:t>Place TBD (Washington DC, Chicago, San Francisco, Houston)</w:t>
      </w:r>
    </w:p>
    <w:p w:rsidR="004F18EC" w:rsidRDefault="004F18EC" w:rsidP="004F18EC">
      <w:pPr>
        <w:pStyle w:val="NoSpacing"/>
      </w:pPr>
    </w:p>
    <w:p w:rsidR="004F18EC" w:rsidRDefault="004F18EC" w:rsidP="004F18EC">
      <w:pPr>
        <w:pStyle w:val="NoSpacing"/>
      </w:pPr>
      <w:r w:rsidRPr="00F37E6F">
        <w:rPr>
          <w:i/>
        </w:rPr>
        <w:t>27</w:t>
      </w:r>
      <w:r w:rsidRPr="00F37E6F">
        <w:rPr>
          <w:i/>
          <w:vertAlign w:val="superscript"/>
        </w:rPr>
        <w:t>th</w:t>
      </w:r>
      <w:r w:rsidRPr="00F37E6F">
        <w:rPr>
          <w:i/>
        </w:rPr>
        <w:t xml:space="preserve"> Annual Plenary &amp; Working Group Meeting</w:t>
      </w:r>
      <w:r>
        <w:tab/>
      </w:r>
      <w:r>
        <w:tab/>
      </w:r>
      <w:r>
        <w:tab/>
      </w:r>
      <w:r>
        <w:tab/>
      </w:r>
      <w:r>
        <w:tab/>
        <w:t>Sept 22-27, 2013</w:t>
      </w:r>
    </w:p>
    <w:p w:rsidR="00FB6D26" w:rsidRPr="00F37E6F" w:rsidRDefault="00FB6D26" w:rsidP="004F18EC">
      <w:pPr>
        <w:pStyle w:val="NoSpacing"/>
        <w:rPr>
          <w:i/>
        </w:rPr>
      </w:pPr>
      <w:r w:rsidRPr="00F37E6F">
        <w:rPr>
          <w:i/>
        </w:rPr>
        <w:t>Include Meaningful Use Stage 2 Workshops</w:t>
      </w:r>
    </w:p>
    <w:p w:rsidR="004F18EC" w:rsidRDefault="004F18EC" w:rsidP="004F18EC">
      <w:pPr>
        <w:pStyle w:val="NoSpacing"/>
      </w:pPr>
      <w:r>
        <w:t>Cambridge, MA</w:t>
      </w:r>
    </w:p>
    <w:p w:rsidR="004F18EC" w:rsidRDefault="004F18EC" w:rsidP="004F18EC">
      <w:pPr>
        <w:pStyle w:val="NoSpacing"/>
      </w:pPr>
    </w:p>
    <w:p w:rsidR="004F18EC" w:rsidRDefault="00FB6D26" w:rsidP="004F18EC">
      <w:pPr>
        <w:pStyle w:val="NoSpacing"/>
      </w:pPr>
      <w:r w:rsidRPr="005C228A">
        <w:rPr>
          <w:i/>
        </w:rPr>
        <w:t>Meaningful Use Educational Summit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BB8">
        <w:t>Late Oct/Early Nov</w:t>
      </w:r>
    </w:p>
    <w:p w:rsidR="00FB6D26" w:rsidRDefault="00FB6D26" w:rsidP="004F18EC">
      <w:pPr>
        <w:pStyle w:val="NoSpacing"/>
      </w:pPr>
      <w:r>
        <w:t>Place TBD (Washington DC, Chicago, San Francisco, Houston)</w:t>
      </w:r>
    </w:p>
    <w:p w:rsidR="00F37E6F" w:rsidRDefault="00F37E6F" w:rsidP="004F18EC">
      <w:pPr>
        <w:pStyle w:val="NoSpacing"/>
      </w:pPr>
    </w:p>
    <w:p w:rsidR="00F37E6F" w:rsidRPr="00F37E6F" w:rsidRDefault="006A314D" w:rsidP="004F18EC">
      <w:pPr>
        <w:pStyle w:val="NoSpacing"/>
        <w:rPr>
          <w:color w:val="FF0000"/>
        </w:rPr>
      </w:pPr>
      <w:r>
        <w:rPr>
          <w:color w:val="FF0000"/>
        </w:rPr>
        <w:t>AMIA Annual Symposium (Washington, DC)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F37E6F">
        <w:rPr>
          <w:color w:val="FF0000"/>
        </w:rPr>
        <w:t>November 16-20, 2013</w:t>
      </w:r>
    </w:p>
    <w:sectPr w:rsidR="00F37E6F" w:rsidRPr="00F3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75" w:rsidRDefault="00381A75" w:rsidP="008D7310">
      <w:pPr>
        <w:spacing w:after="0" w:line="240" w:lineRule="auto"/>
      </w:pPr>
      <w:r>
        <w:separator/>
      </w:r>
    </w:p>
  </w:endnote>
  <w:endnote w:type="continuationSeparator" w:id="0">
    <w:p w:rsidR="00381A75" w:rsidRDefault="00381A75" w:rsidP="008D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8D7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8D73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8D7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75" w:rsidRDefault="00381A75" w:rsidP="008D7310">
      <w:pPr>
        <w:spacing w:after="0" w:line="240" w:lineRule="auto"/>
      </w:pPr>
      <w:r>
        <w:separator/>
      </w:r>
    </w:p>
  </w:footnote>
  <w:footnote w:type="continuationSeparator" w:id="0">
    <w:p w:rsidR="00381A75" w:rsidRDefault="00381A75" w:rsidP="008D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381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364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381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364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0" w:rsidRDefault="00381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364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A"/>
    <w:rsid w:val="00010EFF"/>
    <w:rsid w:val="00023E86"/>
    <w:rsid w:val="000670E1"/>
    <w:rsid w:val="000724E6"/>
    <w:rsid w:val="000950CB"/>
    <w:rsid w:val="000A1BA9"/>
    <w:rsid w:val="000A3441"/>
    <w:rsid w:val="000B7BB8"/>
    <w:rsid w:val="000E32BB"/>
    <w:rsid w:val="000F68A0"/>
    <w:rsid w:val="00104C0E"/>
    <w:rsid w:val="001201A9"/>
    <w:rsid w:val="00127317"/>
    <w:rsid w:val="00127776"/>
    <w:rsid w:val="001400FA"/>
    <w:rsid w:val="00141BB6"/>
    <w:rsid w:val="0014407A"/>
    <w:rsid w:val="00196BC8"/>
    <w:rsid w:val="001F3536"/>
    <w:rsid w:val="002373D6"/>
    <w:rsid w:val="00253C45"/>
    <w:rsid w:val="00255CA1"/>
    <w:rsid w:val="0025726D"/>
    <w:rsid w:val="002C162C"/>
    <w:rsid w:val="002C2A70"/>
    <w:rsid w:val="002C51D6"/>
    <w:rsid w:val="002F0C7B"/>
    <w:rsid w:val="00320698"/>
    <w:rsid w:val="00334631"/>
    <w:rsid w:val="00334D17"/>
    <w:rsid w:val="003429E2"/>
    <w:rsid w:val="00351562"/>
    <w:rsid w:val="00362B72"/>
    <w:rsid w:val="00374201"/>
    <w:rsid w:val="00381A75"/>
    <w:rsid w:val="00383544"/>
    <w:rsid w:val="003E4E32"/>
    <w:rsid w:val="003F7151"/>
    <w:rsid w:val="00427ADF"/>
    <w:rsid w:val="00443AE2"/>
    <w:rsid w:val="00444383"/>
    <w:rsid w:val="0045706B"/>
    <w:rsid w:val="00460A1D"/>
    <w:rsid w:val="00471363"/>
    <w:rsid w:val="00480767"/>
    <w:rsid w:val="004D6909"/>
    <w:rsid w:val="004F18EC"/>
    <w:rsid w:val="004F619F"/>
    <w:rsid w:val="0053280F"/>
    <w:rsid w:val="00533B53"/>
    <w:rsid w:val="005476BD"/>
    <w:rsid w:val="0056146D"/>
    <w:rsid w:val="005B2160"/>
    <w:rsid w:val="005C228A"/>
    <w:rsid w:val="005C7A89"/>
    <w:rsid w:val="005D0D5A"/>
    <w:rsid w:val="005D3C66"/>
    <w:rsid w:val="00643C9D"/>
    <w:rsid w:val="00694A15"/>
    <w:rsid w:val="006A314D"/>
    <w:rsid w:val="006B51DF"/>
    <w:rsid w:val="006D4916"/>
    <w:rsid w:val="0070376C"/>
    <w:rsid w:val="0073267A"/>
    <w:rsid w:val="00746330"/>
    <w:rsid w:val="007515F2"/>
    <w:rsid w:val="007644A4"/>
    <w:rsid w:val="007729D5"/>
    <w:rsid w:val="00791BB9"/>
    <w:rsid w:val="00794C61"/>
    <w:rsid w:val="00830FC9"/>
    <w:rsid w:val="0086248C"/>
    <w:rsid w:val="008A1CBF"/>
    <w:rsid w:val="008B5DA2"/>
    <w:rsid w:val="008C7E98"/>
    <w:rsid w:val="008D44AB"/>
    <w:rsid w:val="008D7310"/>
    <w:rsid w:val="00910FAF"/>
    <w:rsid w:val="00962162"/>
    <w:rsid w:val="00962D23"/>
    <w:rsid w:val="00967275"/>
    <w:rsid w:val="00977C20"/>
    <w:rsid w:val="00980335"/>
    <w:rsid w:val="009905E9"/>
    <w:rsid w:val="009B77A4"/>
    <w:rsid w:val="009E7375"/>
    <w:rsid w:val="00A055AB"/>
    <w:rsid w:val="00A1465D"/>
    <w:rsid w:val="00A16A3C"/>
    <w:rsid w:val="00A2784A"/>
    <w:rsid w:val="00A40A5A"/>
    <w:rsid w:val="00A92122"/>
    <w:rsid w:val="00AA3DAE"/>
    <w:rsid w:val="00AB508F"/>
    <w:rsid w:val="00B42388"/>
    <w:rsid w:val="00B459AF"/>
    <w:rsid w:val="00B5156A"/>
    <w:rsid w:val="00B55D04"/>
    <w:rsid w:val="00B66BF9"/>
    <w:rsid w:val="00BA5A1B"/>
    <w:rsid w:val="00BE2FE3"/>
    <w:rsid w:val="00C03923"/>
    <w:rsid w:val="00C12957"/>
    <w:rsid w:val="00C2480B"/>
    <w:rsid w:val="00C82C3A"/>
    <w:rsid w:val="00C86A77"/>
    <w:rsid w:val="00C86ABE"/>
    <w:rsid w:val="00CD29CB"/>
    <w:rsid w:val="00CF33B3"/>
    <w:rsid w:val="00CF48CF"/>
    <w:rsid w:val="00D023E6"/>
    <w:rsid w:val="00D15EE1"/>
    <w:rsid w:val="00D57C5C"/>
    <w:rsid w:val="00D62DF3"/>
    <w:rsid w:val="00D84821"/>
    <w:rsid w:val="00D92CBB"/>
    <w:rsid w:val="00DA77E9"/>
    <w:rsid w:val="00DB295B"/>
    <w:rsid w:val="00DC48D7"/>
    <w:rsid w:val="00DC4CC6"/>
    <w:rsid w:val="00DD0D51"/>
    <w:rsid w:val="00DE1652"/>
    <w:rsid w:val="00E04079"/>
    <w:rsid w:val="00E11EF4"/>
    <w:rsid w:val="00E32A42"/>
    <w:rsid w:val="00E54972"/>
    <w:rsid w:val="00E569B8"/>
    <w:rsid w:val="00E875CC"/>
    <w:rsid w:val="00EA3C33"/>
    <w:rsid w:val="00EE179A"/>
    <w:rsid w:val="00F0242A"/>
    <w:rsid w:val="00F10325"/>
    <w:rsid w:val="00F12426"/>
    <w:rsid w:val="00F17A5F"/>
    <w:rsid w:val="00F37E6F"/>
    <w:rsid w:val="00F42F13"/>
    <w:rsid w:val="00F511FA"/>
    <w:rsid w:val="00F5337B"/>
    <w:rsid w:val="00F6284A"/>
    <w:rsid w:val="00F80B34"/>
    <w:rsid w:val="00FB5AA0"/>
    <w:rsid w:val="00FB6D26"/>
    <w:rsid w:val="00FC7478"/>
    <w:rsid w:val="00FD2F8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1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4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4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4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0"/>
  </w:style>
  <w:style w:type="paragraph" w:styleId="Footer">
    <w:name w:val="footer"/>
    <w:basedOn w:val="Normal"/>
    <w:link w:val="FooterChar"/>
    <w:uiPriority w:val="99"/>
    <w:unhideWhenUsed/>
    <w:rsid w:val="008D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0"/>
  </w:style>
  <w:style w:type="character" w:customStyle="1" w:styleId="Heading3Char">
    <w:name w:val="Heading 3 Char"/>
    <w:basedOn w:val="DefaultParagraphFont"/>
    <w:link w:val="Heading3"/>
    <w:uiPriority w:val="9"/>
    <w:rsid w:val="00791B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1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4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49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4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0"/>
  </w:style>
  <w:style w:type="paragraph" w:styleId="Footer">
    <w:name w:val="footer"/>
    <w:basedOn w:val="Normal"/>
    <w:link w:val="FooterChar"/>
    <w:uiPriority w:val="99"/>
    <w:unhideWhenUsed/>
    <w:rsid w:val="008D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0"/>
  </w:style>
  <w:style w:type="character" w:customStyle="1" w:styleId="Heading3Char">
    <w:name w:val="Heading 3 Char"/>
    <w:basedOn w:val="DefaultParagraphFont"/>
    <w:link w:val="Heading3"/>
    <w:uiPriority w:val="9"/>
    <w:rsid w:val="00791B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Sharrie</dc:creator>
  <cp:lastModifiedBy>Sharrie</cp:lastModifiedBy>
  <cp:revision>2</cp:revision>
  <dcterms:created xsi:type="dcterms:W3CDTF">2012-10-09T21:16:00Z</dcterms:created>
  <dcterms:modified xsi:type="dcterms:W3CDTF">2012-10-09T21:16:00Z</dcterms:modified>
</cp:coreProperties>
</file>