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027886" w:rsidP="00A34AC1">
      <w:pPr>
        <w:rPr>
          <w:b/>
          <w:color w:val="1F497D"/>
        </w:rPr>
      </w:pPr>
      <w:r>
        <w:rPr>
          <w:b/>
          <w:color w:val="1F497D"/>
        </w:rPr>
        <w:t xml:space="preserve">June </w:t>
      </w:r>
      <w:r w:rsidR="00294799">
        <w:rPr>
          <w:b/>
          <w:color w:val="1F497D"/>
        </w:rPr>
        <w:t>12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Becky Angeles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Emma Jones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Lloyd McKenzie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Russ Leftwich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Stephen Chu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085DCD" w:rsidRDefault="00085DCD" w:rsidP="00A34AC1">
      <w:pPr>
        <w:rPr>
          <w:color w:val="1F497D"/>
        </w:rPr>
      </w:pPr>
      <w:r>
        <w:rPr>
          <w:color w:val="1F497D"/>
        </w:rPr>
        <w:t xml:space="preserve">Laura </w:t>
      </w:r>
      <w:proofErr w:type="spellStart"/>
      <w:r>
        <w:rPr>
          <w:color w:val="1F497D"/>
        </w:rPr>
        <w:t>Heerman</w:t>
      </w:r>
      <w:r w:rsidR="001E7EBD">
        <w:rPr>
          <w:color w:val="1F497D"/>
        </w:rPr>
        <w:t>n</w:t>
      </w:r>
      <w:proofErr w:type="spellEnd"/>
      <w:r>
        <w:rPr>
          <w:color w:val="1F497D"/>
        </w:rPr>
        <w:t xml:space="preserve"> Langford</w:t>
      </w:r>
    </w:p>
    <w:p w:rsidR="00085DCD" w:rsidRDefault="00085DCD" w:rsidP="00A34AC1">
      <w:pPr>
        <w:rPr>
          <w:color w:val="1F497D"/>
        </w:rPr>
      </w:pPr>
      <w:r>
        <w:rPr>
          <w:color w:val="1F497D"/>
        </w:rPr>
        <w:t>Sharon Solomon</w:t>
      </w:r>
    </w:p>
    <w:p w:rsidR="00736970" w:rsidRDefault="00736970" w:rsidP="00A34AC1">
      <w:pPr>
        <w:rPr>
          <w:color w:val="1F497D"/>
        </w:rPr>
      </w:pPr>
      <w:r>
        <w:rPr>
          <w:color w:val="1F497D"/>
        </w:rPr>
        <w:t>Jay Lyle</w:t>
      </w:r>
    </w:p>
    <w:p w:rsidR="00CB1890" w:rsidRDefault="00CB1890" w:rsidP="00A34AC1">
      <w:pPr>
        <w:rPr>
          <w:color w:val="1F497D"/>
        </w:rPr>
      </w:pPr>
      <w:r>
        <w:rPr>
          <w:color w:val="1F497D"/>
        </w:rPr>
        <w:t xml:space="preserve">Lee </w:t>
      </w:r>
      <w:proofErr w:type="spellStart"/>
      <w:r>
        <w:rPr>
          <w:color w:val="1F497D"/>
        </w:rPr>
        <w:t>Unangst</w:t>
      </w:r>
      <w:proofErr w:type="spellEnd"/>
    </w:p>
    <w:p w:rsidR="00AD6999" w:rsidRDefault="00AD6999" w:rsidP="00A34AC1">
      <w:pPr>
        <w:rPr>
          <w:color w:val="1F497D"/>
        </w:rPr>
      </w:pPr>
    </w:p>
    <w:p w:rsidR="00294799" w:rsidRPr="0059064A" w:rsidRDefault="00294799" w:rsidP="0029479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>
        <w:rPr>
          <w:rFonts w:ascii="Calibri" w:hAnsi="Calibri"/>
          <w:b/>
          <w:color w:val="1F497D"/>
        </w:rPr>
        <w:t xml:space="preserve"> for June 12</w:t>
      </w:r>
      <w:r w:rsidRPr="0059064A">
        <w:rPr>
          <w:rFonts w:ascii="Calibri" w:hAnsi="Calibri"/>
          <w:b/>
          <w:color w:val="1F497D"/>
        </w:rPr>
        <w:t>:</w:t>
      </w:r>
    </w:p>
    <w:p w:rsidR="00294799" w:rsidRPr="00294799" w:rsidRDefault="00294799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 w:rsidRPr="00294799">
        <w:rPr>
          <w:rFonts w:ascii="Calibri" w:hAnsi="Calibri"/>
          <w:color w:val="1F497D"/>
        </w:rPr>
        <w:t xml:space="preserve">Review </w:t>
      </w:r>
      <w:proofErr w:type="spellStart"/>
      <w:r w:rsidRPr="00294799">
        <w:rPr>
          <w:rFonts w:ascii="Calibri" w:hAnsi="Calibri"/>
          <w:color w:val="1F497D"/>
        </w:rPr>
        <w:t>connectathon</w:t>
      </w:r>
      <w:proofErr w:type="spellEnd"/>
      <w:r w:rsidRPr="00294799">
        <w:rPr>
          <w:rFonts w:ascii="Calibri" w:hAnsi="Calibri"/>
          <w:color w:val="1F497D"/>
        </w:rPr>
        <w:t xml:space="preserve"> use cases</w:t>
      </w:r>
    </w:p>
    <w:p w:rsidR="00294799" w:rsidRDefault="00294799" w:rsidP="00294799">
      <w:pPr>
        <w:pStyle w:val="ListParagraph"/>
        <w:numPr>
          <w:ilvl w:val="1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Immunization (?forecasting – when is individual due)(David)</w:t>
      </w:r>
    </w:p>
    <w:p w:rsidR="00294799" w:rsidRDefault="00294799" w:rsidP="00294799">
      <w:pPr>
        <w:pStyle w:val="ListParagraph"/>
        <w:numPr>
          <w:ilvl w:val="1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Intolerance(including patient reporting)  (Elaine and Russ)</w:t>
      </w:r>
    </w:p>
    <w:p w:rsidR="00294799" w:rsidRDefault="00294799" w:rsidP="00294799">
      <w:pPr>
        <w:pStyle w:val="ListParagraph"/>
        <w:numPr>
          <w:ilvl w:val="1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Acute Care (Laura)</w:t>
      </w:r>
    </w:p>
    <w:p w:rsidR="00294799" w:rsidRDefault="00294799" w:rsidP="00294799">
      <w:pPr>
        <w:pStyle w:val="ListParagraph"/>
        <w:numPr>
          <w:ilvl w:val="1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Chronic Condition (make sure that medication management is included).(Stephen)</w:t>
      </w:r>
    </w:p>
    <w:p w:rsidR="00294799" w:rsidRDefault="00294799" w:rsidP="00294799">
      <w:pPr>
        <w:pStyle w:val="ListParagraph"/>
        <w:numPr>
          <w:ilvl w:val="1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 (Emma)</w:t>
      </w:r>
    </w:p>
    <w:p w:rsidR="00294799" w:rsidRDefault="00294799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 (criticality)</w:t>
      </w:r>
    </w:p>
    <w:p w:rsidR="00085DCD" w:rsidRDefault="00085DCD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Adverse Reaction/</w:t>
      </w:r>
      <w:r w:rsidR="0058603F">
        <w:rPr>
          <w:rFonts w:ascii="Calibri" w:hAnsi="Calibri"/>
          <w:color w:val="1F497D"/>
        </w:rPr>
        <w:t>Allergy and Intolerance Resource vs Adverse Event</w:t>
      </w:r>
    </w:p>
    <w:p w:rsidR="00294799" w:rsidRDefault="00294799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Referral Resource  -  status with FMG and tooling resources</w:t>
      </w:r>
    </w:p>
    <w:p w:rsidR="00085DCD" w:rsidRDefault="00085DCD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PSS for maintenance</w:t>
      </w:r>
    </w:p>
    <w:p w:rsidR="00294799" w:rsidRPr="0059064A" w:rsidRDefault="00294799" w:rsidP="00294799">
      <w:pPr>
        <w:pStyle w:val="ListParagraph"/>
        <w:numPr>
          <w:ilvl w:val="0"/>
          <w:numId w:val="2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Next meeting June 19 at 5 PM EDT</w:t>
      </w:r>
    </w:p>
    <w:p w:rsidR="00AF49FB" w:rsidRDefault="00AF49FB" w:rsidP="00AF49FB">
      <w:pPr>
        <w:rPr>
          <w:rFonts w:ascii="Calibri" w:hAnsi="Calibri"/>
          <w:color w:val="1F497D"/>
        </w:rPr>
      </w:pPr>
    </w:p>
    <w:p w:rsidR="00D83891" w:rsidRDefault="00D83891" w:rsidP="00AF49FB">
      <w:pPr>
        <w:rPr>
          <w:rFonts w:ascii="Calibri" w:hAnsi="Calibri"/>
          <w:b/>
          <w:color w:val="1F497D"/>
        </w:rPr>
      </w:pPr>
      <w:r w:rsidRPr="00D83891">
        <w:rPr>
          <w:rFonts w:ascii="Calibri" w:hAnsi="Calibri"/>
          <w:b/>
          <w:color w:val="1F497D"/>
        </w:rPr>
        <w:t>Minutes:</w:t>
      </w:r>
      <w:bookmarkStart w:id="0" w:name="_GoBack"/>
      <w:bookmarkEnd w:id="0"/>
    </w:p>
    <w:p w:rsidR="00D83891" w:rsidRPr="00D83891" w:rsidRDefault="00D83891" w:rsidP="00AF49FB">
      <w:pPr>
        <w:rPr>
          <w:rFonts w:ascii="Calibri" w:hAnsi="Calibri"/>
          <w:b/>
          <w:color w:val="1F497D"/>
        </w:rPr>
      </w:pPr>
    </w:p>
    <w:p w:rsidR="00D83891" w:rsidRDefault="00085DCD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Jones presented her Home Care Use Case.</w:t>
      </w:r>
    </w:p>
    <w:p w:rsidR="00085DCD" w:rsidRDefault="00736970" w:rsidP="00736970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Entry of information over 30 minutes/45 minutes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891357" w:rsidRDefault="00891357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F06C35" w:rsidRDefault="00F06C35" w:rsidP="00891357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891357" w:rsidRDefault="00BA2D29" w:rsidP="00F06C35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</w:t>
      </w:r>
      <w:r w:rsidR="00891357">
        <w:rPr>
          <w:rFonts w:ascii="Calibri" w:hAnsi="Calibri"/>
          <w:color w:val="1F497D"/>
        </w:rPr>
        <w:t xml:space="preserve"> enter data from use cases</w:t>
      </w:r>
      <w:r>
        <w:rPr>
          <w:rFonts w:ascii="Calibri" w:hAnsi="Calibri"/>
          <w:color w:val="1F497D"/>
        </w:rPr>
        <w:t xml:space="preserve"> (20 clinicians)</w:t>
      </w:r>
    </w:p>
    <w:p w:rsidR="00BA2D29" w:rsidRDefault="00BA2D2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891357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and </w:t>
      </w:r>
      <w:r w:rsidR="00891357">
        <w:rPr>
          <w:rFonts w:ascii="Calibri" w:hAnsi="Calibri"/>
          <w:color w:val="1F497D"/>
        </w:rPr>
        <w:t>Evaluate what everyone is entered</w:t>
      </w:r>
    </w:p>
    <w:p w:rsidR="00891357" w:rsidRDefault="00891357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A6695F" w:rsidRDefault="007A403B" w:rsidP="00A6695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</w:t>
      </w:r>
      <w:r w:rsidR="00A6695F">
        <w:rPr>
          <w:rFonts w:ascii="Calibri" w:hAnsi="Calibri"/>
          <w:color w:val="1F497D"/>
        </w:rPr>
        <w:t xml:space="preserve"> the data representation using the FHIR standard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</w:t>
      </w:r>
      <w:r w:rsidR="00100C08">
        <w:rPr>
          <w:rFonts w:ascii="Calibri" w:hAnsi="Calibri"/>
          <w:color w:val="1F497D"/>
        </w:rPr>
        <w:t>?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</w:t>
      </w:r>
      <w:r w:rsidR="00A6695F">
        <w:rPr>
          <w:rFonts w:ascii="Calibri" w:hAnsi="Calibri"/>
          <w:color w:val="1F497D"/>
        </w:rPr>
        <w:t xml:space="preserve"> (30 Minutes)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664CAA" w:rsidRDefault="00664CAA" w:rsidP="00664CAA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100C08" w:rsidRPr="00736970" w:rsidRDefault="00100C08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58603F" w:rsidRDefault="0058603F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Adverse Reaction vs. Adverse Event</w:t>
      </w:r>
    </w:p>
    <w:p w:rsidR="0058603F" w:rsidRDefault="0058603F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Discussion – Adverse Event – any untoward occurrence.  It might be related to the investigational drug, but may not be.  An adverse reaction may be an adverse event.  An adverse event may not be a</w:t>
      </w:r>
      <w:r w:rsidR="00FB6EA8">
        <w:rPr>
          <w:rFonts w:ascii="Calibri" w:hAnsi="Calibri"/>
          <w:color w:val="1F497D"/>
        </w:rPr>
        <w:t>n</w:t>
      </w:r>
      <w:r>
        <w:rPr>
          <w:rFonts w:ascii="Calibri" w:hAnsi="Calibri"/>
          <w:color w:val="1F497D"/>
        </w:rPr>
        <w:t xml:space="preserve"> adverse reaction.</w:t>
      </w:r>
    </w:p>
    <w:p w:rsidR="00566CF4" w:rsidRDefault="00566CF4" w:rsidP="00AF49FB">
      <w:pPr>
        <w:rPr>
          <w:rFonts w:ascii="Calibri" w:hAnsi="Calibri"/>
          <w:color w:val="1F497D"/>
        </w:rPr>
      </w:pPr>
    </w:p>
    <w:p w:rsidR="00566CF4" w:rsidRDefault="00566CF4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PSS for FHIR maintenance ready to send to DESD and FHIR FMG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</w:t>
      </w:r>
      <w:r w:rsidR="00976D01">
        <w:rPr>
          <w:rFonts w:ascii="Calibri" w:hAnsi="Calibri"/>
          <w:b/>
          <w:color w:val="1F497D"/>
        </w:rPr>
        <w:t xml:space="preserve">for </w:t>
      </w:r>
      <w:r w:rsidR="000F3481">
        <w:rPr>
          <w:rFonts w:ascii="Calibri" w:hAnsi="Calibri"/>
          <w:b/>
          <w:color w:val="1F497D"/>
        </w:rPr>
        <w:t xml:space="preserve">June </w:t>
      </w:r>
      <w:r w:rsidR="00294799">
        <w:rPr>
          <w:rFonts w:ascii="Calibri" w:hAnsi="Calibri"/>
          <w:b/>
          <w:color w:val="1F497D"/>
        </w:rPr>
        <w:t>19</w:t>
      </w:r>
      <w:r w:rsidRPr="0059064A">
        <w:rPr>
          <w:rFonts w:ascii="Calibri" w:hAnsi="Calibri"/>
          <w:b/>
          <w:color w:val="1F497D"/>
        </w:rPr>
        <w:t>:</w:t>
      </w:r>
    </w:p>
    <w:p w:rsidR="00294799" w:rsidRDefault="00294799" w:rsidP="00FF50D4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SDC PSS – amendment to include profiles for questionnaire </w:t>
      </w:r>
      <w:r w:rsidR="00FF50D4">
        <w:rPr>
          <w:rFonts w:ascii="Calibri" w:hAnsi="Calibri"/>
          <w:color w:val="1F497D"/>
        </w:rPr>
        <w:t xml:space="preserve">(form design) </w:t>
      </w:r>
      <w:r>
        <w:rPr>
          <w:rFonts w:ascii="Calibri" w:hAnsi="Calibri"/>
          <w:color w:val="1F497D"/>
        </w:rPr>
        <w:t>and questionnaire answer</w:t>
      </w:r>
      <w:r w:rsidR="00FF50D4">
        <w:rPr>
          <w:rFonts w:ascii="Calibri" w:hAnsi="Calibri"/>
          <w:color w:val="1F497D"/>
        </w:rPr>
        <w:t xml:space="preserve"> (data )</w:t>
      </w:r>
    </w:p>
    <w:p w:rsidR="00976D01" w:rsidRDefault="00976D01" w:rsidP="00FF50D4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</w:t>
      </w:r>
      <w:r w:rsidR="00DC4D30">
        <w:rPr>
          <w:rFonts w:ascii="Calibri" w:hAnsi="Calibri"/>
          <w:color w:val="1F497D"/>
        </w:rPr>
        <w:t>use cases</w:t>
      </w:r>
    </w:p>
    <w:p w:rsidR="00976D01" w:rsidRDefault="00976D01" w:rsidP="00FF50D4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Immunization (?forecasting – when is individual due)(David)</w:t>
      </w:r>
    </w:p>
    <w:p w:rsidR="00976D01" w:rsidRDefault="00976D01" w:rsidP="00FF50D4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Intolerance(including patient reporting)  (Elaine and Russ)</w:t>
      </w:r>
    </w:p>
    <w:p w:rsidR="00976D01" w:rsidRDefault="00976D01" w:rsidP="00FF50D4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Acute Care (Laura)</w:t>
      </w:r>
    </w:p>
    <w:p w:rsidR="00976D01" w:rsidRDefault="00976D01" w:rsidP="00FF50D4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Chronic Condition (make sure that medication management is included).(Stephen)</w:t>
      </w:r>
    </w:p>
    <w:p w:rsidR="00976D01" w:rsidRDefault="00976D01" w:rsidP="00FF50D4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 (Emma)</w:t>
      </w:r>
    </w:p>
    <w:p w:rsidR="00DC4D30" w:rsidRDefault="00DC4D30" w:rsidP="00FF50D4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</w:p>
    <w:p w:rsidR="00983A53" w:rsidRPr="0059064A" w:rsidRDefault="00983A53" w:rsidP="00FF50D4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976D01">
        <w:rPr>
          <w:rFonts w:ascii="Calibri" w:hAnsi="Calibri"/>
          <w:color w:val="1F497D"/>
        </w:rPr>
        <w:t xml:space="preserve">June </w:t>
      </w:r>
      <w:r w:rsidR="00294799">
        <w:rPr>
          <w:rFonts w:ascii="Calibri" w:hAnsi="Calibri"/>
          <w:color w:val="1F497D"/>
        </w:rPr>
        <w:t>26</w:t>
      </w:r>
      <w:r>
        <w:rPr>
          <w:rFonts w:ascii="Calibri" w:hAnsi="Calibri"/>
          <w:color w:val="1F497D"/>
        </w:rPr>
        <w:t xml:space="preserve"> at 5 PM EDT</w:t>
      </w:r>
    </w:p>
    <w:p w:rsidR="00300CF5" w:rsidRDefault="00300CF5" w:rsidP="001C502F">
      <w:pPr>
        <w:rPr>
          <w:color w:val="1F497D"/>
        </w:rPr>
      </w:pP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9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E07E33" w:rsidP="001C502F">
      <w:pPr>
        <w:rPr>
          <w:rFonts w:ascii="Times New Roman" w:eastAsia="Calibri" w:hAnsi="Times New Roman" w:cs="Times New Roman"/>
        </w:rPr>
      </w:pPr>
      <w:hyperlink r:id="rId10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E07E33" w:rsidP="001C502F">
      <w:pPr>
        <w:rPr>
          <w:rFonts w:ascii="Times New Roman" w:eastAsia="Calibri" w:hAnsi="Times New Roman" w:cs="Times New Roman"/>
        </w:rPr>
      </w:pPr>
      <w:hyperlink r:id="rId11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 xml:space="preserve">Referral </w:t>
      </w:r>
      <w:r w:rsidR="00736970">
        <w:rPr>
          <w:rFonts w:eastAsia="Calibri" w:cs="Arial"/>
        </w:rPr>
        <w:t>Resource Proposal</w:t>
      </w:r>
    </w:p>
    <w:p w:rsidR="001C502F" w:rsidRPr="00810AF7" w:rsidRDefault="00E07E33" w:rsidP="001C502F">
      <w:pPr>
        <w:rPr>
          <w:rFonts w:ascii="Arial" w:eastAsia="Calibri" w:hAnsi="Arial" w:cs="Arial"/>
          <w:sz w:val="20"/>
          <w:szCs w:val="20"/>
        </w:rPr>
      </w:pPr>
      <w:hyperlink r:id="rId12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C64144" w:rsidRPr="001C502F" w:rsidRDefault="00C64144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Transfer of care (NEW)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15pt;height:10.85pt" o:ole="">
            <v:imagedata r:id="rId13" o:title=""/>
          </v:shape>
          <o:OLEObject Type="Embed" ProgID="Word.Document.12" ShapeID="_x0000_i1025" DrawAspect="Content" ObjectID="_1464104460" r:id="rId14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7E7C"/>
    <w:multiLevelType w:val="hybridMultilevel"/>
    <w:tmpl w:val="749A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24"/>
  </w:num>
  <w:num w:numId="14">
    <w:abstractNumId w:val="19"/>
  </w:num>
  <w:num w:numId="15">
    <w:abstractNumId w:val="11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27886"/>
    <w:rsid w:val="00085BDA"/>
    <w:rsid w:val="00085DCD"/>
    <w:rsid w:val="000929BD"/>
    <w:rsid w:val="0009554C"/>
    <w:rsid w:val="00096E01"/>
    <w:rsid w:val="000A4CBB"/>
    <w:rsid w:val="000A7FEE"/>
    <w:rsid w:val="000C6BBD"/>
    <w:rsid w:val="000E3D0F"/>
    <w:rsid w:val="000F3481"/>
    <w:rsid w:val="000F6BEF"/>
    <w:rsid w:val="00100C08"/>
    <w:rsid w:val="00100CF3"/>
    <w:rsid w:val="00114A3F"/>
    <w:rsid w:val="00134BB8"/>
    <w:rsid w:val="00197615"/>
    <w:rsid w:val="001B4C78"/>
    <w:rsid w:val="001C502F"/>
    <w:rsid w:val="001E7EBD"/>
    <w:rsid w:val="001F028C"/>
    <w:rsid w:val="002661FF"/>
    <w:rsid w:val="00275719"/>
    <w:rsid w:val="00294799"/>
    <w:rsid w:val="002B192F"/>
    <w:rsid w:val="002B563A"/>
    <w:rsid w:val="002C1596"/>
    <w:rsid w:val="002E0EAF"/>
    <w:rsid w:val="00300CF5"/>
    <w:rsid w:val="003256B1"/>
    <w:rsid w:val="003423E7"/>
    <w:rsid w:val="00376891"/>
    <w:rsid w:val="003B1C3E"/>
    <w:rsid w:val="003E068A"/>
    <w:rsid w:val="003F00B1"/>
    <w:rsid w:val="004133EA"/>
    <w:rsid w:val="004659F6"/>
    <w:rsid w:val="0047315B"/>
    <w:rsid w:val="004C22E3"/>
    <w:rsid w:val="004C2C13"/>
    <w:rsid w:val="004C2C2D"/>
    <w:rsid w:val="004D33CC"/>
    <w:rsid w:val="004F491B"/>
    <w:rsid w:val="005119D9"/>
    <w:rsid w:val="00553A79"/>
    <w:rsid w:val="00566CF4"/>
    <w:rsid w:val="0058603F"/>
    <w:rsid w:val="0059064A"/>
    <w:rsid w:val="00592C89"/>
    <w:rsid w:val="005C1BF9"/>
    <w:rsid w:val="005F37CE"/>
    <w:rsid w:val="005F5701"/>
    <w:rsid w:val="0062478A"/>
    <w:rsid w:val="00664CAA"/>
    <w:rsid w:val="006839E7"/>
    <w:rsid w:val="00696D6E"/>
    <w:rsid w:val="0072482C"/>
    <w:rsid w:val="00736543"/>
    <w:rsid w:val="00736970"/>
    <w:rsid w:val="007633A9"/>
    <w:rsid w:val="0077588B"/>
    <w:rsid w:val="00776BA3"/>
    <w:rsid w:val="00795490"/>
    <w:rsid w:val="007A3D68"/>
    <w:rsid w:val="007A403B"/>
    <w:rsid w:val="007B5B83"/>
    <w:rsid w:val="007C3279"/>
    <w:rsid w:val="00810AF7"/>
    <w:rsid w:val="0081351E"/>
    <w:rsid w:val="00852EA3"/>
    <w:rsid w:val="00853C76"/>
    <w:rsid w:val="00875425"/>
    <w:rsid w:val="00891357"/>
    <w:rsid w:val="008C3779"/>
    <w:rsid w:val="008E027E"/>
    <w:rsid w:val="0091492A"/>
    <w:rsid w:val="00941003"/>
    <w:rsid w:val="00974700"/>
    <w:rsid w:val="00976D01"/>
    <w:rsid w:val="00983A53"/>
    <w:rsid w:val="009B2B81"/>
    <w:rsid w:val="009B5220"/>
    <w:rsid w:val="009C0BE1"/>
    <w:rsid w:val="009D0446"/>
    <w:rsid w:val="009D7DCF"/>
    <w:rsid w:val="009E219E"/>
    <w:rsid w:val="00A0134F"/>
    <w:rsid w:val="00A1083F"/>
    <w:rsid w:val="00A224A8"/>
    <w:rsid w:val="00A226AB"/>
    <w:rsid w:val="00A256DA"/>
    <w:rsid w:val="00A34AC1"/>
    <w:rsid w:val="00A34CCD"/>
    <w:rsid w:val="00A56C04"/>
    <w:rsid w:val="00A6695F"/>
    <w:rsid w:val="00A737A9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05A18"/>
    <w:rsid w:val="00B706A5"/>
    <w:rsid w:val="00B877CB"/>
    <w:rsid w:val="00B928CC"/>
    <w:rsid w:val="00BA2D29"/>
    <w:rsid w:val="00BA3680"/>
    <w:rsid w:val="00BC0568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6230"/>
    <w:rsid w:val="00D24FD4"/>
    <w:rsid w:val="00D378BF"/>
    <w:rsid w:val="00D61649"/>
    <w:rsid w:val="00D654C9"/>
    <w:rsid w:val="00D67BA7"/>
    <w:rsid w:val="00D76985"/>
    <w:rsid w:val="00D83891"/>
    <w:rsid w:val="00DA76A7"/>
    <w:rsid w:val="00DC4D30"/>
    <w:rsid w:val="00E07E33"/>
    <w:rsid w:val="00E2144D"/>
    <w:rsid w:val="00E27361"/>
    <w:rsid w:val="00E30F44"/>
    <w:rsid w:val="00E404C8"/>
    <w:rsid w:val="00E63838"/>
    <w:rsid w:val="00E84429"/>
    <w:rsid w:val="00E92CEE"/>
    <w:rsid w:val="00ED2B6F"/>
    <w:rsid w:val="00F06C35"/>
    <w:rsid w:val="00F32133"/>
    <w:rsid w:val="00F41B0E"/>
    <w:rsid w:val="00F66BE7"/>
    <w:rsid w:val="00FB2E4D"/>
    <w:rsid w:val="00FB44EF"/>
    <w:rsid w:val="00FB6EA8"/>
    <w:rsid w:val="00FD5A5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Referral_FHIR_Resource_Propos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Category:FHIR_Resource_Propos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forge.hl7.org/gf/project/fhir/tracker/?action=TrackerItemBrowse&amp;tracker_id=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implement/standards/FHIR-Develop/?ref=learnmore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6E51-9D31-40C5-9438-35816D3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2014-06-12T17:47:00Z</dcterms:created>
  <dcterms:modified xsi:type="dcterms:W3CDTF">2014-06-12T22:54:00Z</dcterms:modified>
</cp:coreProperties>
</file>