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576893">
      <w:r>
        <w:t>20170831_LabUSRealm_Notes</w:t>
      </w:r>
    </w:p>
    <w:p w:rsidR="00576893" w:rsidRDefault="00576893">
      <w:r>
        <w:t xml:space="preserve">Attendees: John R, Riki, </w:t>
      </w:r>
      <w:r w:rsidR="005C75A7">
        <w:t>K</w:t>
      </w:r>
      <w:r>
        <w:t>athy, Erin, Carmen, Craig, Andrea</w:t>
      </w:r>
      <w:r w:rsidR="002C57BE">
        <w:t>, Walter</w:t>
      </w:r>
    </w:p>
    <w:p w:rsidR="002C57BE" w:rsidRDefault="009C44CE" w:rsidP="002C57BE">
      <w:pPr>
        <w:shd w:val="clear" w:color="auto" w:fill="FFFFFF"/>
        <w:spacing w:after="0" w:line="240" w:lineRule="auto"/>
        <w:rPr>
          <w:rFonts w:ascii="Times New Roman" w:eastAsia="Times New Roman" w:hAnsi="Times New Roman" w:cs="Times New Roman"/>
          <w:color w:val="222222"/>
          <w:sz w:val="23"/>
          <w:szCs w:val="23"/>
        </w:rPr>
      </w:pPr>
      <w:r>
        <w:t xml:space="preserve">LRI#997: </w:t>
      </w:r>
      <w:r w:rsidR="002C57BE">
        <w:t xml:space="preserve">LRI_PH_110 CS: Change to state: </w:t>
      </w:r>
      <w:r w:rsidR="002C57BE" w:rsidRPr="00AB4E8A">
        <w:rPr>
          <w:rFonts w:ascii="Times New Roman" w:eastAsia="Times New Roman" w:hAnsi="Times New Roman" w:cs="Times New Roman"/>
          <w:b/>
          <w:bCs/>
          <w:color w:val="222222"/>
          <w:sz w:val="23"/>
          <w:szCs w:val="23"/>
        </w:rPr>
        <w:t>LRI-PH-110: </w:t>
      </w:r>
      <w:r w:rsidR="002C57BE" w:rsidRPr="00AB4E8A">
        <w:rPr>
          <w:rFonts w:ascii="Times New Roman" w:eastAsia="Times New Roman" w:hAnsi="Times New Roman" w:cs="Times New Roman"/>
          <w:color w:val="222222"/>
          <w:sz w:val="23"/>
          <w:szCs w:val="23"/>
        </w:rPr>
        <w:t xml:space="preserve">HD_03.3 (Universal ID Type) </w:t>
      </w:r>
      <w:r w:rsidR="002C57BE" w:rsidRPr="00AB4E8A">
        <w:rPr>
          <w:rFonts w:ascii="Times New Roman" w:eastAsia="Times New Roman" w:hAnsi="Times New Roman" w:cs="Times New Roman"/>
          <w:b/>
          <w:bCs/>
          <w:color w:val="222222"/>
          <w:sz w:val="23"/>
          <w:szCs w:val="23"/>
        </w:rPr>
        <w:t>SHALL </w:t>
      </w:r>
      <w:r w:rsidR="002C57BE" w:rsidRPr="00AB4E8A">
        <w:rPr>
          <w:rFonts w:ascii="Times New Roman" w:eastAsia="Times New Roman" w:hAnsi="Times New Roman" w:cs="Times New Roman"/>
          <w:color w:val="222222"/>
          <w:sz w:val="23"/>
          <w:szCs w:val="23"/>
        </w:rPr>
        <w:t>co</w:t>
      </w:r>
      <w:r w:rsidR="002C57BE">
        <w:rPr>
          <w:rFonts w:ascii="Times New Roman" w:eastAsia="Times New Roman" w:hAnsi="Times New Roman" w:cs="Times New Roman"/>
          <w:color w:val="222222"/>
          <w:sz w:val="23"/>
          <w:szCs w:val="23"/>
        </w:rPr>
        <w:t>ntain the value "ISO" OR "CLIA".</w:t>
      </w:r>
    </w:p>
    <w:p w:rsidR="002C57BE" w:rsidRDefault="002C57BE" w:rsidP="002C57BE">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Make a note that we use this </w:t>
      </w:r>
      <w:proofErr w:type="spellStart"/>
      <w:r>
        <w:rPr>
          <w:rFonts w:ascii="Times New Roman" w:eastAsia="Times New Roman" w:hAnsi="Times New Roman" w:cs="Times New Roman"/>
          <w:color w:val="222222"/>
          <w:sz w:val="23"/>
          <w:szCs w:val="23"/>
        </w:rPr>
        <w:t>dataype</w:t>
      </w:r>
      <w:proofErr w:type="spellEnd"/>
      <w:r>
        <w:rPr>
          <w:rFonts w:ascii="Times New Roman" w:eastAsia="Times New Roman" w:hAnsi="Times New Roman" w:cs="Times New Roman"/>
          <w:color w:val="222222"/>
          <w:sz w:val="23"/>
          <w:szCs w:val="23"/>
        </w:rPr>
        <w:t xml:space="preserve"> wherever we want to allow CLIA and ISO and use HD_01 when we want only ISO.</w:t>
      </w:r>
    </w:p>
    <w:p w:rsidR="002C57BE" w:rsidRDefault="002C57BE" w:rsidP="002C57BE">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And change this CS to be LAB CS – so they can be used in both LRI and LOI – applies to LRI-PH-110, LRI-PH-111 and LRI-PH-112</w:t>
      </w:r>
    </w:p>
    <w:p w:rsidR="002C57BE" w:rsidRDefault="002C57BE" w:rsidP="002C57BE">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Downside to make CLIA allowed ID type in assigning authority? Are CLIA numbers ever re-used? No, so there should be no issue. </w:t>
      </w:r>
      <w:r w:rsidR="009C44CE">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w:t>
      </w:r>
    </w:p>
    <w:p w:rsidR="009C44CE" w:rsidRDefault="009C44CE" w:rsidP="002C57BE">
      <w:pPr>
        <w:shd w:val="clear" w:color="auto" w:fill="FFFFFF"/>
        <w:spacing w:after="0" w:line="240" w:lineRule="auto"/>
        <w:rPr>
          <w:rFonts w:ascii="Times New Roman" w:eastAsia="Times New Roman" w:hAnsi="Times New Roman" w:cs="Times New Roman"/>
          <w:color w:val="222222"/>
          <w:sz w:val="23"/>
          <w:szCs w:val="23"/>
        </w:rPr>
      </w:pPr>
      <w:r w:rsidRPr="009C44CE">
        <w:rPr>
          <w:rFonts w:ascii="Times New Roman" w:eastAsia="Times New Roman" w:hAnsi="Times New Roman" w:cs="Times New Roman"/>
          <w:color w:val="222222"/>
          <w:sz w:val="23"/>
          <w:szCs w:val="23"/>
        </w:rPr>
        <w:t>Motion to approve as described - Craig Newman, John Roberts</w:t>
      </w:r>
      <w:r>
        <w:rPr>
          <w:rFonts w:ascii="Times New Roman" w:eastAsia="Times New Roman" w:hAnsi="Times New Roman" w:cs="Times New Roman"/>
          <w:color w:val="222222"/>
          <w:sz w:val="23"/>
          <w:szCs w:val="23"/>
        </w:rPr>
        <w:t>, no further discussion, against: 0, abstain: 0, in favor: 6</w:t>
      </w:r>
    </w:p>
    <w:p w:rsidR="002C57BE" w:rsidRDefault="002C57BE" w:rsidP="002C57BE">
      <w:pPr>
        <w:shd w:val="clear" w:color="auto" w:fill="FFFFFF"/>
        <w:spacing w:after="0" w:line="240" w:lineRule="auto"/>
        <w:rPr>
          <w:rFonts w:ascii="Times New Roman" w:eastAsia="Times New Roman" w:hAnsi="Times New Roman" w:cs="Times New Roman"/>
          <w:color w:val="222222"/>
          <w:sz w:val="23"/>
          <w:szCs w:val="23"/>
        </w:rPr>
      </w:pPr>
    </w:p>
    <w:p w:rsidR="00607D57" w:rsidRDefault="009C44CE" w:rsidP="00607D57">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LRI#996: </w:t>
      </w:r>
      <w:r w:rsidRPr="009C44CE">
        <w:rPr>
          <w:rFonts w:ascii="Times New Roman" w:eastAsia="Times New Roman" w:hAnsi="Times New Roman" w:cs="Times New Roman"/>
          <w:color w:val="222222"/>
          <w:sz w:val="23"/>
          <w:szCs w:val="23"/>
        </w:rPr>
        <w:t>Discovered item: Update ERR-3 value set to require use of 207 and remove 999 to be consistent across v2.x IGs - during the last harmonization round that was discussed and the change in definition approved, while 999 was not added</w:t>
      </w:r>
      <w:r>
        <w:rPr>
          <w:rFonts w:ascii="Times New Roman" w:eastAsia="Times New Roman" w:hAnsi="Times New Roman" w:cs="Times New Roman"/>
          <w:color w:val="222222"/>
          <w:sz w:val="23"/>
          <w:szCs w:val="23"/>
        </w:rPr>
        <w:t xml:space="preserve"> - </w:t>
      </w:r>
      <w:r w:rsidRPr="009C44CE">
        <w:rPr>
          <w:rFonts w:ascii="Times New Roman" w:eastAsia="Times New Roman" w:hAnsi="Times New Roman" w:cs="Times New Roman"/>
          <w:color w:val="222222"/>
          <w:sz w:val="23"/>
          <w:szCs w:val="23"/>
        </w:rPr>
        <w:t xml:space="preserve">Motion to accept the proposed 3 new value sets - for </w:t>
      </w:r>
      <w:proofErr w:type="spellStart"/>
      <w:r w:rsidRPr="009C44CE">
        <w:rPr>
          <w:rFonts w:ascii="Times New Roman" w:eastAsia="Times New Roman" w:hAnsi="Times New Roman" w:cs="Times New Roman"/>
          <w:color w:val="222222"/>
          <w:sz w:val="23"/>
          <w:szCs w:val="23"/>
        </w:rPr>
        <w:t>eDOS</w:t>
      </w:r>
      <w:proofErr w:type="spellEnd"/>
      <w:r w:rsidRPr="009C44CE">
        <w:rPr>
          <w:rFonts w:ascii="Times New Roman" w:eastAsia="Times New Roman" w:hAnsi="Times New Roman" w:cs="Times New Roman"/>
          <w:color w:val="222222"/>
          <w:sz w:val="23"/>
          <w:szCs w:val="23"/>
        </w:rPr>
        <w:t xml:space="preserve">, LOI and LRI per file "HL70357_USL_Proposed.xlsx" - see document tab - Craig Newman, John </w:t>
      </w:r>
      <w:proofErr w:type="gramStart"/>
      <w:r w:rsidRPr="009C44CE">
        <w:rPr>
          <w:rFonts w:ascii="Times New Roman" w:eastAsia="Times New Roman" w:hAnsi="Times New Roman" w:cs="Times New Roman"/>
          <w:color w:val="222222"/>
          <w:sz w:val="23"/>
          <w:szCs w:val="23"/>
        </w:rPr>
        <w:t>Roberts</w:t>
      </w:r>
      <w:r>
        <w:rPr>
          <w:rFonts w:ascii="Times New Roman" w:eastAsia="Times New Roman" w:hAnsi="Times New Roman" w:cs="Times New Roman"/>
          <w:color w:val="222222"/>
          <w:sz w:val="23"/>
          <w:szCs w:val="23"/>
        </w:rPr>
        <w:t xml:space="preserve"> </w:t>
      </w:r>
      <w:r w:rsidR="00607D57">
        <w:rPr>
          <w:rFonts w:ascii="Times New Roman" w:eastAsia="Times New Roman" w:hAnsi="Times New Roman" w:cs="Times New Roman"/>
          <w:color w:val="222222"/>
          <w:sz w:val="23"/>
          <w:szCs w:val="23"/>
        </w:rPr>
        <w:t>,</w:t>
      </w:r>
      <w:proofErr w:type="gramEnd"/>
      <w:r w:rsidR="00607D57">
        <w:rPr>
          <w:rFonts w:ascii="Times New Roman" w:eastAsia="Times New Roman" w:hAnsi="Times New Roman" w:cs="Times New Roman"/>
          <w:color w:val="222222"/>
          <w:sz w:val="23"/>
          <w:szCs w:val="23"/>
        </w:rPr>
        <w:t xml:space="preserve"> no further discussion, against</w:t>
      </w:r>
      <w:r w:rsidR="00607D57">
        <w:rPr>
          <w:rFonts w:ascii="Times New Roman" w:eastAsia="Times New Roman" w:hAnsi="Times New Roman" w:cs="Times New Roman"/>
          <w:color w:val="222222"/>
          <w:sz w:val="23"/>
          <w:szCs w:val="23"/>
        </w:rPr>
        <w:t>: 0, abstain: 2</w:t>
      </w:r>
      <w:r w:rsidR="00607D57">
        <w:rPr>
          <w:rFonts w:ascii="Times New Roman" w:eastAsia="Times New Roman" w:hAnsi="Times New Roman" w:cs="Times New Roman"/>
          <w:color w:val="222222"/>
          <w:sz w:val="23"/>
          <w:szCs w:val="23"/>
        </w:rPr>
        <w:t xml:space="preserve">, in favor: </w:t>
      </w:r>
      <w:r w:rsidR="00607D57">
        <w:rPr>
          <w:rFonts w:ascii="Times New Roman" w:eastAsia="Times New Roman" w:hAnsi="Times New Roman" w:cs="Times New Roman"/>
          <w:color w:val="222222"/>
          <w:sz w:val="23"/>
          <w:szCs w:val="23"/>
        </w:rPr>
        <w:t>4</w:t>
      </w:r>
    </w:p>
    <w:p w:rsidR="009C44CE" w:rsidRDefault="003B09B5" w:rsidP="002C57BE">
      <w:pPr>
        <w:shd w:val="clear" w:color="auto" w:fill="FFFFFF"/>
        <w:spacing w:after="0" w:line="240" w:lineRule="auto"/>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object w:dxaOrig="1520"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6" o:title=""/>
          </v:shape>
          <o:OLEObject Type="Embed" ProgID="Excel.Sheet.12" ShapeID="_x0000_i1025" DrawAspect="Icon" ObjectID="_1565690418" r:id="rId7"/>
        </w:object>
      </w:r>
      <w:bookmarkStart w:id="0" w:name="_GoBack"/>
      <w:bookmarkEnd w:id="0"/>
    </w:p>
    <w:p w:rsidR="002C57BE" w:rsidRPr="00AB4E8A" w:rsidRDefault="002C57BE" w:rsidP="002C57BE">
      <w:pPr>
        <w:shd w:val="clear" w:color="auto" w:fill="FFFFFF"/>
        <w:spacing w:after="0" w:line="240" w:lineRule="auto"/>
        <w:rPr>
          <w:rFonts w:ascii="Times New Roman" w:eastAsia="Times New Roman" w:hAnsi="Times New Roman" w:cs="Times New Roman"/>
          <w:color w:val="222222"/>
          <w:sz w:val="19"/>
          <w:szCs w:val="19"/>
        </w:rPr>
      </w:pPr>
      <w:r w:rsidRPr="00AB4E8A">
        <w:rPr>
          <w:rFonts w:ascii="Times New Roman" w:eastAsia="Times New Roman" w:hAnsi="Times New Roman" w:cs="Times New Roman"/>
          <w:color w:val="222222"/>
          <w:sz w:val="19"/>
          <w:szCs w:val="19"/>
        </w:rPr>
        <w:t> </w:t>
      </w:r>
    </w:p>
    <w:p w:rsidR="00607D57" w:rsidRPr="00607D57" w:rsidRDefault="009C44CE" w:rsidP="00607D57">
      <w:pPr>
        <w:rPr>
          <w:rFonts w:ascii="Arial" w:hAnsi="Arial" w:cs="Arial"/>
          <w:sz w:val="20"/>
          <w:szCs w:val="20"/>
        </w:rPr>
      </w:pPr>
      <w:r w:rsidRPr="009C44CE">
        <w:rPr>
          <w:rFonts w:ascii="Arial" w:hAnsi="Arial" w:cs="Arial"/>
          <w:sz w:val="20"/>
          <w:szCs w:val="20"/>
        </w:rPr>
        <w:t>LRI#202</w:t>
      </w:r>
      <w:r w:rsidR="00607D57">
        <w:rPr>
          <w:rFonts w:ascii="Arial" w:hAnsi="Arial" w:cs="Arial"/>
          <w:sz w:val="20"/>
          <w:szCs w:val="20"/>
        </w:rPr>
        <w:t xml:space="preserve">: </w:t>
      </w:r>
      <w:r w:rsidR="00607D57" w:rsidRPr="00607D57">
        <w:rPr>
          <w:rFonts w:ascii="Arial" w:hAnsi="Arial" w:cs="Arial"/>
          <w:sz w:val="20"/>
          <w:szCs w:val="20"/>
        </w:rPr>
        <w:t>ADD a section explaining how to report paired sera testing:</w:t>
      </w:r>
    </w:p>
    <w:p w:rsidR="00607D57" w:rsidRPr="00607D57" w:rsidRDefault="00607D57" w:rsidP="00607D57">
      <w:pPr>
        <w:rPr>
          <w:rFonts w:ascii="Arial" w:hAnsi="Arial" w:cs="Arial"/>
          <w:sz w:val="20"/>
          <w:szCs w:val="20"/>
        </w:rPr>
      </w:pPr>
      <w:r w:rsidRPr="00607D57">
        <w:rPr>
          <w:rFonts w:ascii="Arial" w:hAnsi="Arial" w:cs="Arial"/>
          <w:sz w:val="20"/>
          <w:szCs w:val="20"/>
        </w:rPr>
        <w:t>1. Serum collected and tested</w:t>
      </w:r>
    </w:p>
    <w:p w:rsidR="00607D57" w:rsidRPr="00607D57" w:rsidRDefault="00607D57" w:rsidP="00607D57">
      <w:pPr>
        <w:rPr>
          <w:rFonts w:ascii="Arial" w:hAnsi="Arial" w:cs="Arial"/>
          <w:sz w:val="20"/>
          <w:szCs w:val="20"/>
        </w:rPr>
      </w:pPr>
      <w:r w:rsidRPr="00607D57">
        <w:rPr>
          <w:rFonts w:ascii="Arial" w:hAnsi="Arial" w:cs="Arial"/>
          <w:sz w:val="20"/>
          <w:szCs w:val="20"/>
        </w:rPr>
        <w:t xml:space="preserve">2. Second serum sample </w:t>
      </w:r>
      <w:proofErr w:type="gramStart"/>
      <w:r w:rsidRPr="00607D57">
        <w:rPr>
          <w:rFonts w:ascii="Arial" w:hAnsi="Arial" w:cs="Arial"/>
          <w:sz w:val="20"/>
          <w:szCs w:val="20"/>
        </w:rPr>
        <w:t xml:space="preserve">collected  </w:t>
      </w:r>
      <w:proofErr w:type="spellStart"/>
      <w:r w:rsidRPr="00607D57">
        <w:rPr>
          <w:rFonts w:ascii="Arial" w:hAnsi="Arial" w:cs="Arial"/>
          <w:sz w:val="20"/>
          <w:szCs w:val="20"/>
        </w:rPr>
        <w:t>nn</w:t>
      </w:r>
      <w:proofErr w:type="spellEnd"/>
      <w:proofErr w:type="gramEnd"/>
      <w:r w:rsidRPr="00607D57">
        <w:rPr>
          <w:rFonts w:ascii="Arial" w:hAnsi="Arial" w:cs="Arial"/>
          <w:sz w:val="20"/>
          <w:szCs w:val="20"/>
        </w:rPr>
        <w:t xml:space="preserve"> weeks later and submitted</w:t>
      </w:r>
    </w:p>
    <w:p w:rsidR="00607D57" w:rsidRDefault="00607D57" w:rsidP="00607D57">
      <w:pPr>
        <w:rPr>
          <w:rFonts w:ascii="Arial" w:hAnsi="Arial" w:cs="Arial"/>
          <w:sz w:val="20"/>
          <w:szCs w:val="20"/>
        </w:rPr>
      </w:pPr>
      <w:r w:rsidRPr="00607D57">
        <w:rPr>
          <w:rFonts w:ascii="Arial" w:hAnsi="Arial" w:cs="Arial"/>
          <w:sz w:val="20"/>
          <w:szCs w:val="20"/>
        </w:rPr>
        <w:t xml:space="preserve">3. Lab tests both the first and second sample at the same time under one ordered test (as a reflex test to the first may be) - Since SPM apply to the order group, but not the </w:t>
      </w:r>
      <w:r w:rsidRPr="00607D57">
        <w:rPr>
          <w:rFonts w:ascii="Arial" w:hAnsi="Arial" w:cs="Arial"/>
          <w:sz w:val="20"/>
          <w:szCs w:val="20"/>
        </w:rPr>
        <w:t>individual</w:t>
      </w:r>
      <w:r w:rsidRPr="00607D57">
        <w:rPr>
          <w:rFonts w:ascii="Arial" w:hAnsi="Arial" w:cs="Arial"/>
          <w:sz w:val="20"/>
          <w:szCs w:val="20"/>
        </w:rPr>
        <w:t xml:space="preserve"> OBX, how should it be made clear which result is reported for which specimen - suggest to p</w:t>
      </w:r>
      <w:r>
        <w:rPr>
          <w:rFonts w:ascii="Arial" w:hAnsi="Arial" w:cs="Arial"/>
          <w:sz w:val="20"/>
          <w:szCs w:val="20"/>
        </w:rPr>
        <w:t>r</w:t>
      </w:r>
      <w:r w:rsidRPr="00607D57">
        <w:rPr>
          <w:rFonts w:ascii="Arial" w:hAnsi="Arial" w:cs="Arial"/>
          <w:sz w:val="20"/>
          <w:szCs w:val="20"/>
        </w:rPr>
        <w:t>ovide best practice guidance here!</w:t>
      </w:r>
      <w:r w:rsidR="009C44CE">
        <w:rPr>
          <w:rFonts w:ascii="Arial" w:hAnsi="Arial" w:cs="Arial"/>
          <w:sz w:val="20"/>
          <w:szCs w:val="20"/>
        </w:rPr>
        <w:t xml:space="preserve"> – </w:t>
      </w:r>
    </w:p>
    <w:p w:rsidR="009C44CE" w:rsidRPr="009C44CE" w:rsidRDefault="009C44CE" w:rsidP="00607D57">
      <w:pPr>
        <w:rPr>
          <w:rFonts w:ascii="Arial" w:hAnsi="Arial" w:cs="Arial"/>
          <w:sz w:val="20"/>
          <w:szCs w:val="20"/>
        </w:rPr>
      </w:pPr>
      <w:r>
        <w:rPr>
          <w:rFonts w:ascii="Arial" w:hAnsi="Arial" w:cs="Arial"/>
          <w:sz w:val="20"/>
          <w:szCs w:val="20"/>
        </w:rPr>
        <w:t>Proposed solution:</w:t>
      </w:r>
    </w:p>
    <w:p w:rsidR="00A1464C" w:rsidRPr="00E63A85" w:rsidRDefault="00A1464C" w:rsidP="00A1464C">
      <w:pPr>
        <w:rPr>
          <w:rFonts w:ascii="Arial" w:hAnsi="Arial" w:cs="Arial"/>
          <w:b/>
          <w:sz w:val="20"/>
          <w:szCs w:val="20"/>
        </w:rPr>
      </w:pPr>
      <w:r w:rsidRPr="00E63A85">
        <w:rPr>
          <w:rFonts w:ascii="Arial" w:hAnsi="Arial" w:cs="Arial"/>
          <w:b/>
          <w:sz w:val="20"/>
          <w:szCs w:val="20"/>
        </w:rPr>
        <w:t>Use the same option in ELR and LRI, so have to use parent child linking:</w:t>
      </w:r>
    </w:p>
    <w:p w:rsidR="00A1464C" w:rsidRDefault="00A1464C" w:rsidP="00A1464C">
      <w:pPr>
        <w:rPr>
          <w:rFonts w:ascii="Arial" w:hAnsi="Arial" w:cs="Arial"/>
          <w:sz w:val="20"/>
          <w:szCs w:val="20"/>
        </w:rPr>
      </w:pPr>
      <w:proofErr w:type="gramStart"/>
      <w:r>
        <w:rPr>
          <w:rFonts w:ascii="Arial" w:hAnsi="Arial" w:cs="Arial"/>
          <w:sz w:val="20"/>
          <w:szCs w:val="20"/>
        </w:rPr>
        <w:t>Example for ELR do</w:t>
      </w:r>
      <w:proofErr w:type="gramEnd"/>
      <w:r>
        <w:rPr>
          <w:rFonts w:ascii="Arial" w:hAnsi="Arial" w:cs="Arial"/>
          <w:sz w:val="20"/>
          <w:szCs w:val="20"/>
        </w:rPr>
        <w:t xml:space="preserve"> the same way in LRI:</w:t>
      </w:r>
    </w:p>
    <w:p w:rsidR="00A1464C" w:rsidRPr="002D2419" w:rsidRDefault="00A1464C" w:rsidP="00A1464C">
      <w:pPr>
        <w:rPr>
          <w:rFonts w:ascii="Arial" w:hAnsi="Arial" w:cs="Arial"/>
          <w:sz w:val="20"/>
          <w:szCs w:val="20"/>
        </w:rPr>
      </w:pPr>
      <w:r w:rsidRPr="002D2419">
        <w:rPr>
          <w:rFonts w:ascii="Arial" w:hAnsi="Arial" w:cs="Arial"/>
          <w:sz w:val="20"/>
          <w:szCs w:val="20"/>
        </w:rPr>
        <w:t>First message:</w:t>
      </w:r>
    </w:p>
    <w:p w:rsidR="00A1464C" w:rsidRPr="002D2419" w:rsidRDefault="00A1464C" w:rsidP="00A1464C">
      <w:pPr>
        <w:rPr>
          <w:rFonts w:ascii="Arial" w:hAnsi="Arial" w:cs="Arial"/>
          <w:sz w:val="20"/>
          <w:szCs w:val="20"/>
        </w:rPr>
      </w:pPr>
      <w:r w:rsidRPr="002D2419">
        <w:rPr>
          <w:rFonts w:ascii="Arial" w:hAnsi="Arial" w:cs="Arial"/>
          <w:sz w:val="20"/>
          <w:szCs w:val="20"/>
        </w:rPr>
        <w:t>ORC|RE|T1234^PlacerLab|T5678^FillerLab|…</w:t>
      </w:r>
    </w:p>
    <w:p w:rsidR="00A1464C" w:rsidRPr="002D2419" w:rsidRDefault="00A1464C" w:rsidP="00A1464C">
      <w:pPr>
        <w:rPr>
          <w:rFonts w:ascii="Arial" w:hAnsi="Arial" w:cs="Arial"/>
          <w:sz w:val="20"/>
          <w:szCs w:val="20"/>
        </w:rPr>
      </w:pPr>
      <w:r w:rsidRPr="002D2419">
        <w:rPr>
          <w:rFonts w:ascii="Arial" w:hAnsi="Arial" w:cs="Arial"/>
          <w:sz w:val="20"/>
          <w:szCs w:val="20"/>
        </w:rPr>
        <w:t>OBR|1|T1234^Plac</w:t>
      </w:r>
      <w:r w:rsidRPr="00C2348B">
        <w:rPr>
          <w:rFonts w:ascii="Arial" w:hAnsi="Arial" w:cs="Arial"/>
          <w:sz w:val="20"/>
          <w:szCs w:val="20"/>
        </w:rPr>
        <w:t>erLab |</w:t>
      </w:r>
      <w:r w:rsidRPr="00C2348B">
        <w:rPr>
          <w:rFonts w:ascii="Arial" w:hAnsi="Arial" w:cs="Arial"/>
          <w:sz w:val="20"/>
          <w:szCs w:val="20"/>
          <w:highlight w:val="cyan"/>
        </w:rPr>
        <w:t>T5678^FillerLab</w:t>
      </w:r>
      <w:r w:rsidRPr="00C2348B">
        <w:rPr>
          <w:rFonts w:ascii="Arial" w:hAnsi="Arial" w:cs="Arial"/>
          <w:sz w:val="20"/>
          <w:szCs w:val="20"/>
        </w:rPr>
        <w:t>|</w:t>
      </w:r>
      <w:r w:rsidRPr="00C2348B">
        <w:rPr>
          <w:rFonts w:ascii="Arial" w:hAnsi="Arial" w:cs="Arial"/>
          <w:sz w:val="20"/>
          <w:szCs w:val="20"/>
          <w:highlight w:val="cyan"/>
        </w:rPr>
        <w:t xml:space="preserve">24213-1^Eastern equine encephalitis virus Ab [Titer] in Serum by Immunofluorescence --1st </w:t>
      </w:r>
      <w:proofErr w:type="spellStart"/>
      <w:r w:rsidRPr="00C2348B">
        <w:rPr>
          <w:rFonts w:ascii="Arial" w:hAnsi="Arial" w:cs="Arial"/>
          <w:sz w:val="20"/>
          <w:szCs w:val="20"/>
          <w:highlight w:val="cyan"/>
        </w:rPr>
        <w:t>specimen</w:t>
      </w:r>
      <w:r w:rsidRPr="000D1929">
        <w:rPr>
          <w:rFonts w:ascii="Arial" w:hAnsi="Arial" w:cs="Arial"/>
          <w:sz w:val="20"/>
          <w:szCs w:val="20"/>
          <w:highlight w:val="cyan"/>
        </w:rPr>
        <w:t>^LN</w:t>
      </w:r>
      <w:proofErr w:type="spellEnd"/>
      <w:r w:rsidRPr="002D2419">
        <w:rPr>
          <w:rFonts w:ascii="Arial" w:hAnsi="Arial" w:cs="Arial"/>
          <w:sz w:val="20"/>
          <w:szCs w:val="20"/>
        </w:rPr>
        <w:t>|||20160531|…OBR-22 = 201606041501|…</w:t>
      </w:r>
    </w:p>
    <w:p w:rsidR="00A1464C" w:rsidRPr="002D2419" w:rsidRDefault="00A1464C" w:rsidP="00A1464C">
      <w:pPr>
        <w:rPr>
          <w:rFonts w:ascii="Arial" w:hAnsi="Arial" w:cs="Arial"/>
          <w:sz w:val="20"/>
          <w:szCs w:val="20"/>
        </w:rPr>
      </w:pPr>
      <w:r w:rsidRPr="002D2419">
        <w:rPr>
          <w:rFonts w:ascii="Arial" w:hAnsi="Arial" w:cs="Arial"/>
          <w:sz w:val="20"/>
          <w:szCs w:val="20"/>
        </w:rPr>
        <w:t>OBX|1|SN|</w:t>
      </w:r>
      <w:r w:rsidRPr="00C2348B">
        <w:rPr>
          <w:rFonts w:ascii="Arial" w:hAnsi="Arial" w:cs="Arial"/>
          <w:sz w:val="20"/>
          <w:szCs w:val="20"/>
          <w:highlight w:val="cyan"/>
        </w:rPr>
        <w:t xml:space="preserve">24213-1^Eastern equine encephalitis virus Ab [Titer] in Serum by Immunofluorescence --1st </w:t>
      </w:r>
      <w:proofErr w:type="spellStart"/>
      <w:r w:rsidRPr="00C2348B">
        <w:rPr>
          <w:rFonts w:ascii="Arial" w:hAnsi="Arial" w:cs="Arial"/>
          <w:sz w:val="20"/>
          <w:szCs w:val="20"/>
          <w:highlight w:val="cyan"/>
        </w:rPr>
        <w:t>specimen</w:t>
      </w:r>
      <w:r w:rsidRPr="002D2419">
        <w:rPr>
          <w:rFonts w:ascii="Arial" w:hAnsi="Arial" w:cs="Arial"/>
          <w:sz w:val="20"/>
          <w:szCs w:val="20"/>
          <w:highlight w:val="cyan"/>
        </w:rPr>
        <w:t>^LN</w:t>
      </w:r>
      <w:proofErr w:type="spellEnd"/>
      <w:r w:rsidRPr="002D2419">
        <w:rPr>
          <w:rFonts w:ascii="Arial" w:hAnsi="Arial" w:cs="Arial"/>
          <w:sz w:val="20"/>
          <w:szCs w:val="20"/>
        </w:rPr>
        <w:t>||^1^:^4|…OBX-19 = 20160604</w:t>
      </w:r>
    </w:p>
    <w:p w:rsidR="00A1464C" w:rsidRPr="002D2419" w:rsidRDefault="00A1464C" w:rsidP="00A1464C">
      <w:pPr>
        <w:rPr>
          <w:rFonts w:ascii="Arial" w:hAnsi="Arial" w:cs="Arial"/>
          <w:sz w:val="20"/>
          <w:szCs w:val="20"/>
        </w:rPr>
      </w:pPr>
      <w:r w:rsidRPr="002D2419">
        <w:rPr>
          <w:rFonts w:ascii="Arial" w:hAnsi="Arial" w:cs="Arial"/>
          <w:sz w:val="20"/>
          <w:szCs w:val="20"/>
        </w:rPr>
        <w:t>NTE|1|RE|this is the result of the first test blah….|</w:t>
      </w:r>
    </w:p>
    <w:p w:rsidR="00A1464C" w:rsidRPr="002D2419" w:rsidRDefault="00A1464C" w:rsidP="00A1464C">
      <w:pPr>
        <w:rPr>
          <w:rFonts w:ascii="Arial" w:hAnsi="Arial" w:cs="Arial"/>
          <w:sz w:val="20"/>
          <w:szCs w:val="20"/>
        </w:rPr>
      </w:pPr>
      <w:r w:rsidRPr="002D2419">
        <w:rPr>
          <w:rFonts w:ascii="Arial" w:hAnsi="Arial" w:cs="Arial"/>
          <w:sz w:val="20"/>
          <w:szCs w:val="20"/>
        </w:rPr>
        <w:lastRenderedPageBreak/>
        <w:t>SPM|1|S1234&amp;Placerlab^S5678&amp;Fillerlab||Ser^serum^HL70487|||||||||||||20160531|20160531</w:t>
      </w:r>
    </w:p>
    <w:p w:rsidR="00A1464C" w:rsidRPr="002D2419" w:rsidRDefault="00A1464C" w:rsidP="00A1464C">
      <w:pPr>
        <w:pStyle w:val="ListParagraph"/>
        <w:ind w:left="1440"/>
        <w:rPr>
          <w:rFonts w:ascii="Arial" w:hAnsi="Arial" w:cs="Arial"/>
          <w:sz w:val="20"/>
          <w:szCs w:val="20"/>
        </w:rPr>
      </w:pPr>
    </w:p>
    <w:p w:rsidR="00A1464C" w:rsidRPr="002D2419" w:rsidRDefault="00A1464C" w:rsidP="00A1464C">
      <w:pPr>
        <w:rPr>
          <w:rFonts w:ascii="Arial" w:hAnsi="Arial" w:cs="Arial"/>
          <w:sz w:val="20"/>
          <w:szCs w:val="20"/>
        </w:rPr>
      </w:pPr>
      <w:r w:rsidRPr="002D2419">
        <w:rPr>
          <w:rFonts w:ascii="Arial" w:hAnsi="Arial" w:cs="Arial"/>
          <w:sz w:val="20"/>
          <w:szCs w:val="20"/>
        </w:rPr>
        <w:t>Second message:</w:t>
      </w:r>
    </w:p>
    <w:p w:rsidR="00A1464C" w:rsidRPr="002D2419" w:rsidRDefault="00A1464C" w:rsidP="00A1464C">
      <w:pPr>
        <w:rPr>
          <w:rFonts w:ascii="Arial" w:hAnsi="Arial" w:cs="Arial"/>
          <w:sz w:val="20"/>
          <w:szCs w:val="20"/>
        </w:rPr>
      </w:pPr>
      <w:r w:rsidRPr="002D2419">
        <w:rPr>
          <w:rFonts w:ascii="Arial" w:hAnsi="Arial" w:cs="Arial"/>
          <w:sz w:val="20"/>
          <w:szCs w:val="20"/>
        </w:rPr>
        <w:t>ORC|RE|T1235^PlacerLab|T5680^FillerLab|…</w:t>
      </w:r>
    </w:p>
    <w:p w:rsidR="00A1464C" w:rsidRPr="002D2419" w:rsidRDefault="00A1464C" w:rsidP="00A1464C">
      <w:pPr>
        <w:rPr>
          <w:rFonts w:ascii="Arial" w:hAnsi="Arial" w:cs="Arial"/>
          <w:sz w:val="20"/>
          <w:szCs w:val="20"/>
        </w:rPr>
      </w:pPr>
      <w:r w:rsidRPr="002D2419">
        <w:rPr>
          <w:rFonts w:ascii="Arial" w:hAnsi="Arial" w:cs="Arial"/>
          <w:sz w:val="20"/>
          <w:szCs w:val="20"/>
        </w:rPr>
        <w:t>OBR|1|</w:t>
      </w:r>
      <w:r w:rsidRPr="00D80E63">
        <w:rPr>
          <w:rFonts w:ascii="Arial" w:hAnsi="Arial" w:cs="Arial"/>
          <w:sz w:val="20"/>
          <w:szCs w:val="20"/>
          <w:highlight w:val="green"/>
        </w:rPr>
        <w:t>T1235^PlacerLab|</w:t>
      </w:r>
      <w:r w:rsidRPr="002D2419">
        <w:rPr>
          <w:rFonts w:ascii="Arial" w:hAnsi="Arial" w:cs="Arial"/>
          <w:sz w:val="20"/>
          <w:szCs w:val="20"/>
          <w:highlight w:val="green"/>
        </w:rPr>
        <w:t>T5680^FillerLab</w:t>
      </w:r>
      <w:r w:rsidRPr="002D2419">
        <w:rPr>
          <w:rFonts w:ascii="Arial" w:hAnsi="Arial" w:cs="Arial"/>
          <w:sz w:val="20"/>
          <w:szCs w:val="20"/>
        </w:rPr>
        <w:t>|</w:t>
      </w:r>
      <w:r w:rsidRPr="00C2348B">
        <w:rPr>
          <w:rFonts w:ascii="Arial" w:hAnsi="Arial" w:cs="Arial"/>
          <w:sz w:val="20"/>
          <w:szCs w:val="20"/>
          <w:highlight w:val="green"/>
        </w:rPr>
        <w:t>24214-9^Eastern equine encephalitis virus Ab [Titer] in Serum by Immunofluorescence --2nd specimen ^LN</w:t>
      </w:r>
      <w:r w:rsidRPr="002D2419">
        <w:rPr>
          <w:rFonts w:ascii="Arial" w:hAnsi="Arial" w:cs="Arial"/>
          <w:sz w:val="20"/>
          <w:szCs w:val="20"/>
        </w:rPr>
        <w:t xml:space="preserve">|||20160619|…OBR-22 = 201606200801|… </w:t>
      </w:r>
    </w:p>
    <w:p w:rsidR="00A1464C" w:rsidRPr="002D2419" w:rsidRDefault="00A1464C" w:rsidP="00A1464C">
      <w:pPr>
        <w:rPr>
          <w:rFonts w:ascii="Arial" w:hAnsi="Arial" w:cs="Arial"/>
          <w:sz w:val="20"/>
          <w:szCs w:val="20"/>
        </w:rPr>
      </w:pPr>
      <w:r w:rsidRPr="002D2419">
        <w:rPr>
          <w:rFonts w:ascii="Arial" w:hAnsi="Arial" w:cs="Arial"/>
          <w:sz w:val="20"/>
          <w:szCs w:val="20"/>
        </w:rPr>
        <w:t>OBX|1|SN|</w:t>
      </w:r>
      <w:r w:rsidRPr="00C2348B">
        <w:rPr>
          <w:rFonts w:ascii="Arial" w:hAnsi="Arial" w:cs="Arial"/>
          <w:sz w:val="20"/>
          <w:szCs w:val="20"/>
          <w:highlight w:val="green"/>
        </w:rPr>
        <w:t>24214-9^Eastern equine encephalitis virus Ab [Titer] in Serum by Immunofluorescence --2nd specimen ^LN</w:t>
      </w:r>
      <w:r w:rsidRPr="002D2419">
        <w:rPr>
          <w:rFonts w:ascii="Arial" w:hAnsi="Arial" w:cs="Arial"/>
          <w:sz w:val="20"/>
          <w:szCs w:val="20"/>
        </w:rPr>
        <w:t>||^1^:^64|…OBX-19 = 20160620</w:t>
      </w:r>
    </w:p>
    <w:p w:rsidR="00A1464C" w:rsidRPr="002D2419" w:rsidRDefault="00A1464C" w:rsidP="00A1464C">
      <w:pPr>
        <w:rPr>
          <w:rFonts w:ascii="Arial" w:hAnsi="Arial" w:cs="Arial"/>
          <w:sz w:val="20"/>
          <w:szCs w:val="20"/>
        </w:rPr>
      </w:pPr>
      <w:r w:rsidRPr="002D2419">
        <w:rPr>
          <w:rFonts w:ascii="Arial" w:hAnsi="Arial" w:cs="Arial"/>
          <w:sz w:val="20"/>
          <w:szCs w:val="20"/>
        </w:rPr>
        <w:t>NTE|1|RE|this is the result of the second sample…|</w:t>
      </w:r>
    </w:p>
    <w:p w:rsidR="00A1464C" w:rsidRPr="002D2419" w:rsidRDefault="00A1464C" w:rsidP="00A1464C">
      <w:pPr>
        <w:rPr>
          <w:rFonts w:ascii="Arial" w:hAnsi="Arial" w:cs="Arial"/>
          <w:sz w:val="20"/>
          <w:szCs w:val="20"/>
        </w:rPr>
      </w:pPr>
      <w:r w:rsidRPr="002D2419">
        <w:rPr>
          <w:rFonts w:ascii="Arial" w:hAnsi="Arial" w:cs="Arial"/>
          <w:sz w:val="20"/>
          <w:szCs w:val="20"/>
        </w:rPr>
        <w:t>SPM|1|S1299&amp;Placerlab^S5999&amp;Fillerlab||</w:t>
      </w:r>
      <w:r w:rsidRPr="008872B3">
        <w:rPr>
          <w:rFonts w:ascii="Arial" w:hAnsi="Arial" w:cs="Arial"/>
          <w:sz w:val="20"/>
          <w:szCs w:val="20"/>
          <w:highlight w:val="lightGray"/>
        </w:rPr>
        <w:t xml:space="preserve">429891000124101^convalescent phase </w:t>
      </w:r>
      <w:proofErr w:type="spellStart"/>
      <w:r w:rsidRPr="008872B3">
        <w:rPr>
          <w:rFonts w:ascii="Arial" w:hAnsi="Arial" w:cs="Arial"/>
          <w:sz w:val="20"/>
          <w:szCs w:val="20"/>
          <w:highlight w:val="lightGray"/>
        </w:rPr>
        <w:t>serum^SCT</w:t>
      </w:r>
      <w:proofErr w:type="spellEnd"/>
      <w:r w:rsidRPr="002D2419">
        <w:rPr>
          <w:rFonts w:ascii="Arial" w:hAnsi="Arial" w:cs="Arial"/>
          <w:sz w:val="20"/>
          <w:szCs w:val="20"/>
        </w:rPr>
        <w:t>|||||||||||||20160619|20160619</w:t>
      </w:r>
    </w:p>
    <w:p w:rsidR="00A1464C" w:rsidRPr="002D2419" w:rsidRDefault="00A1464C" w:rsidP="00A1464C">
      <w:pPr>
        <w:rPr>
          <w:rFonts w:ascii="Arial" w:hAnsi="Arial" w:cs="Arial"/>
          <w:sz w:val="20"/>
          <w:szCs w:val="20"/>
        </w:rPr>
      </w:pPr>
      <w:r w:rsidRPr="002D2419">
        <w:rPr>
          <w:rFonts w:ascii="Arial" w:hAnsi="Arial" w:cs="Arial"/>
          <w:sz w:val="20"/>
          <w:szCs w:val="20"/>
        </w:rPr>
        <w:t>ORC|RE| |T5679^FillerLab|…ORC-8 = T1235&amp;PlacerLab^T5680^FillerLab|</w:t>
      </w:r>
      <w:r>
        <w:rPr>
          <w:rFonts w:ascii="Arial" w:hAnsi="Arial" w:cs="Arial"/>
          <w:sz w:val="20"/>
          <w:szCs w:val="20"/>
        </w:rPr>
        <w:t>…</w:t>
      </w:r>
      <w:r w:rsidRPr="00D80E63">
        <w:rPr>
          <w:rFonts w:ascii="Arial" w:hAnsi="Arial" w:cs="Arial"/>
          <w:b/>
          <w:sz w:val="20"/>
          <w:szCs w:val="20"/>
        </w:rPr>
        <w:t>ORC-8 =</w:t>
      </w:r>
      <w:r w:rsidRPr="002D2419">
        <w:rPr>
          <w:rFonts w:ascii="Arial" w:hAnsi="Arial" w:cs="Arial"/>
          <w:sz w:val="20"/>
          <w:szCs w:val="20"/>
        </w:rPr>
        <w:t xml:space="preserve"> </w:t>
      </w:r>
      <w:r w:rsidRPr="00D80E63">
        <w:rPr>
          <w:rFonts w:ascii="Arial" w:hAnsi="Arial" w:cs="Arial"/>
          <w:sz w:val="20"/>
          <w:szCs w:val="20"/>
          <w:highlight w:val="green"/>
        </w:rPr>
        <w:t>T1235^PlacerLab|</w:t>
      </w:r>
      <w:r w:rsidRPr="002D2419">
        <w:rPr>
          <w:rFonts w:ascii="Arial" w:hAnsi="Arial" w:cs="Arial"/>
          <w:sz w:val="20"/>
          <w:szCs w:val="20"/>
          <w:highlight w:val="green"/>
        </w:rPr>
        <w:t>T5680^FillerLab</w:t>
      </w:r>
    </w:p>
    <w:p w:rsidR="00A1464C" w:rsidRPr="002D2419" w:rsidRDefault="00A1464C" w:rsidP="00A1464C">
      <w:pPr>
        <w:rPr>
          <w:rFonts w:ascii="Arial" w:hAnsi="Arial" w:cs="Arial"/>
          <w:sz w:val="20"/>
          <w:szCs w:val="20"/>
        </w:rPr>
      </w:pPr>
      <w:r w:rsidRPr="002D2419">
        <w:rPr>
          <w:rFonts w:ascii="Arial" w:hAnsi="Arial" w:cs="Arial"/>
          <w:sz w:val="20"/>
          <w:szCs w:val="20"/>
        </w:rPr>
        <w:t>OBR|2| |T5679^FillerLab|</w:t>
      </w:r>
      <w:r w:rsidRPr="00C2348B">
        <w:rPr>
          <w:rFonts w:ascii="Arial" w:hAnsi="Arial" w:cs="Arial"/>
          <w:sz w:val="20"/>
          <w:szCs w:val="20"/>
          <w:highlight w:val="cyan"/>
        </w:rPr>
        <w:t>24213-1^Eastern equine encephalitis virus Ab [Titer] in Serum by Immunofluorescence --1st specimen</w:t>
      </w:r>
      <w:r w:rsidRPr="002D2419">
        <w:rPr>
          <w:rFonts w:ascii="Arial" w:hAnsi="Arial" w:cs="Arial"/>
          <w:sz w:val="20"/>
          <w:szCs w:val="20"/>
          <w:highlight w:val="cyan"/>
        </w:rPr>
        <w:t xml:space="preserve"> </w:t>
      </w:r>
      <w:proofErr w:type="spellStart"/>
      <w:r w:rsidRPr="002D2419">
        <w:rPr>
          <w:rFonts w:ascii="Arial" w:hAnsi="Arial" w:cs="Arial"/>
          <w:sz w:val="20"/>
          <w:szCs w:val="20"/>
          <w:highlight w:val="cyan"/>
        </w:rPr>
        <w:t>m^LN</w:t>
      </w:r>
      <w:proofErr w:type="spellEnd"/>
      <w:r w:rsidRPr="002D2419">
        <w:rPr>
          <w:rFonts w:ascii="Arial" w:hAnsi="Arial" w:cs="Arial"/>
          <w:sz w:val="20"/>
          <w:szCs w:val="20"/>
        </w:rPr>
        <w:t>|||20160531|…OBR-11 = G|…OBR-22 = 201606200801</w:t>
      </w:r>
      <w:r w:rsidRPr="00D80E63">
        <w:rPr>
          <w:rFonts w:ascii="Arial" w:hAnsi="Arial" w:cs="Arial"/>
          <w:b/>
          <w:sz w:val="20"/>
          <w:szCs w:val="20"/>
        </w:rPr>
        <w:t>…or</w:t>
      </w:r>
      <w:r>
        <w:rPr>
          <w:rFonts w:ascii="Arial" w:hAnsi="Arial" w:cs="Arial"/>
          <w:sz w:val="20"/>
          <w:szCs w:val="20"/>
        </w:rPr>
        <w:t xml:space="preserve"> </w:t>
      </w:r>
      <w:r w:rsidRPr="00D80E63">
        <w:rPr>
          <w:rFonts w:ascii="Arial" w:hAnsi="Arial" w:cs="Arial"/>
          <w:b/>
          <w:sz w:val="20"/>
          <w:szCs w:val="20"/>
        </w:rPr>
        <w:t>OBR-29 =</w:t>
      </w:r>
      <w:r w:rsidRPr="002D2419">
        <w:rPr>
          <w:rFonts w:ascii="Arial" w:hAnsi="Arial" w:cs="Arial"/>
          <w:sz w:val="20"/>
          <w:szCs w:val="20"/>
        </w:rPr>
        <w:t xml:space="preserve"> </w:t>
      </w:r>
      <w:r w:rsidRPr="00D80E63">
        <w:rPr>
          <w:rFonts w:ascii="Arial" w:hAnsi="Arial" w:cs="Arial"/>
          <w:sz w:val="20"/>
          <w:szCs w:val="20"/>
          <w:highlight w:val="green"/>
        </w:rPr>
        <w:t>T1235^PlacerLab|</w:t>
      </w:r>
      <w:r w:rsidRPr="002D2419">
        <w:rPr>
          <w:rFonts w:ascii="Arial" w:hAnsi="Arial" w:cs="Arial"/>
          <w:sz w:val="20"/>
          <w:szCs w:val="20"/>
          <w:highlight w:val="green"/>
        </w:rPr>
        <w:t>T5680^FillerLab</w:t>
      </w:r>
    </w:p>
    <w:p w:rsidR="00A1464C" w:rsidRPr="002D2419" w:rsidRDefault="00A1464C" w:rsidP="00A1464C">
      <w:pPr>
        <w:rPr>
          <w:rFonts w:ascii="Arial" w:hAnsi="Arial" w:cs="Arial"/>
          <w:sz w:val="20"/>
          <w:szCs w:val="20"/>
        </w:rPr>
      </w:pPr>
      <w:r w:rsidRPr="002D2419">
        <w:rPr>
          <w:rFonts w:ascii="Arial" w:hAnsi="Arial" w:cs="Arial"/>
          <w:sz w:val="20"/>
          <w:szCs w:val="20"/>
        </w:rPr>
        <w:t>OBX|1|SN|</w:t>
      </w:r>
      <w:r w:rsidRPr="00C2348B">
        <w:rPr>
          <w:rFonts w:ascii="Arial" w:hAnsi="Arial" w:cs="Arial"/>
          <w:sz w:val="20"/>
          <w:szCs w:val="20"/>
          <w:highlight w:val="cyan"/>
        </w:rPr>
        <w:t>24213-1^Eastern equine encephalitis virus Ab [Titer] in Serum by Immunofluorescence --1st specimen</w:t>
      </w:r>
      <w:r w:rsidRPr="002D2419">
        <w:rPr>
          <w:rFonts w:ascii="Arial" w:hAnsi="Arial" w:cs="Arial"/>
          <w:sz w:val="20"/>
          <w:szCs w:val="20"/>
          <w:highlight w:val="cyan"/>
        </w:rPr>
        <w:t xml:space="preserve"> ^LN</w:t>
      </w:r>
      <w:r w:rsidRPr="002D2419">
        <w:rPr>
          <w:rFonts w:ascii="Arial" w:hAnsi="Arial" w:cs="Arial"/>
          <w:sz w:val="20"/>
          <w:szCs w:val="20"/>
        </w:rPr>
        <w:t>||^1^:^4|…OBX-19 = 20160620</w:t>
      </w:r>
    </w:p>
    <w:p w:rsidR="00A1464C" w:rsidRPr="002D2419" w:rsidRDefault="00A1464C" w:rsidP="00A1464C">
      <w:pPr>
        <w:rPr>
          <w:rFonts w:ascii="Arial" w:hAnsi="Arial" w:cs="Arial"/>
          <w:sz w:val="20"/>
          <w:szCs w:val="20"/>
        </w:rPr>
      </w:pPr>
      <w:r w:rsidRPr="002D2419">
        <w:rPr>
          <w:rFonts w:ascii="Arial" w:hAnsi="Arial" w:cs="Arial"/>
          <w:sz w:val="20"/>
          <w:szCs w:val="20"/>
        </w:rPr>
        <w:t>NTE|1|RE|this is the result of the first sample tested in parallel with the second sample…|</w:t>
      </w:r>
    </w:p>
    <w:p w:rsidR="00A1464C" w:rsidRPr="002D2419" w:rsidRDefault="00A1464C" w:rsidP="00A1464C">
      <w:pPr>
        <w:rPr>
          <w:rFonts w:ascii="Arial" w:hAnsi="Arial" w:cs="Arial"/>
          <w:sz w:val="20"/>
          <w:szCs w:val="20"/>
        </w:rPr>
      </w:pPr>
      <w:r w:rsidRPr="002D2419">
        <w:rPr>
          <w:rFonts w:ascii="Arial" w:hAnsi="Arial" w:cs="Arial"/>
          <w:sz w:val="20"/>
          <w:szCs w:val="20"/>
        </w:rPr>
        <w:t>SPM|1|S1234&amp;Placerlab^S5678&amp;Fillerlab||Ser^serum^HL70487|||||||||||||20160531|20160531</w:t>
      </w:r>
    </w:p>
    <w:p w:rsidR="00A1464C" w:rsidRDefault="00A1464C" w:rsidP="00A1464C">
      <w:pPr>
        <w:rPr>
          <w:rFonts w:ascii="Arial" w:hAnsi="Arial" w:cs="Arial"/>
          <w:sz w:val="20"/>
          <w:szCs w:val="20"/>
        </w:rPr>
      </w:pPr>
    </w:p>
    <w:p w:rsidR="00A1464C" w:rsidRPr="00C5620E" w:rsidRDefault="00A1464C" w:rsidP="00A1464C">
      <w:pPr>
        <w:rPr>
          <w:rFonts w:ascii="Arial" w:hAnsi="Arial" w:cs="Arial"/>
          <w:b/>
          <w:sz w:val="20"/>
          <w:szCs w:val="20"/>
        </w:rPr>
      </w:pPr>
      <w:r w:rsidRPr="00C5620E">
        <w:rPr>
          <w:rFonts w:ascii="Arial" w:hAnsi="Arial" w:cs="Arial"/>
          <w:b/>
          <w:sz w:val="20"/>
          <w:szCs w:val="20"/>
        </w:rPr>
        <w:t>For orders</w:t>
      </w:r>
      <w:r>
        <w:rPr>
          <w:rFonts w:ascii="Arial" w:hAnsi="Arial" w:cs="Arial"/>
          <w:b/>
          <w:sz w:val="20"/>
          <w:szCs w:val="20"/>
        </w:rPr>
        <w:t xml:space="preserve"> – in LOI</w:t>
      </w:r>
      <w:r w:rsidRPr="00C5620E">
        <w:rPr>
          <w:rFonts w:ascii="Arial" w:hAnsi="Arial" w:cs="Arial"/>
          <w:b/>
          <w:sz w:val="20"/>
          <w:szCs w:val="20"/>
        </w:rPr>
        <w:t>:</w:t>
      </w:r>
    </w:p>
    <w:p w:rsidR="00A1464C" w:rsidRDefault="00A1464C" w:rsidP="00A1464C">
      <w:pPr>
        <w:rPr>
          <w:rFonts w:ascii="Arial" w:hAnsi="Arial" w:cs="Arial"/>
          <w:b/>
          <w:sz w:val="20"/>
          <w:szCs w:val="20"/>
        </w:rPr>
      </w:pPr>
      <w:r w:rsidRPr="005C4ECC">
        <w:rPr>
          <w:rFonts w:ascii="Arial" w:hAnsi="Arial" w:cs="Arial"/>
          <w:b/>
          <w:sz w:val="20"/>
          <w:szCs w:val="20"/>
        </w:rPr>
        <w:t>Create paired sera order set, where the first order uses the First sample LOIN</w:t>
      </w:r>
      <w:r>
        <w:rPr>
          <w:rFonts w:ascii="Arial" w:hAnsi="Arial" w:cs="Arial"/>
          <w:b/>
          <w:sz w:val="20"/>
          <w:szCs w:val="20"/>
        </w:rPr>
        <w:t>C = current order</w:t>
      </w:r>
      <w:r w:rsidRPr="005C4ECC">
        <w:rPr>
          <w:rFonts w:ascii="Arial" w:hAnsi="Arial" w:cs="Arial"/>
          <w:b/>
          <w:sz w:val="20"/>
          <w:szCs w:val="20"/>
        </w:rPr>
        <w:t xml:space="preserve">, the second uses the second sample LOINC </w:t>
      </w:r>
      <w:r>
        <w:rPr>
          <w:rFonts w:ascii="Arial" w:hAnsi="Arial" w:cs="Arial"/>
          <w:b/>
          <w:sz w:val="20"/>
          <w:szCs w:val="20"/>
        </w:rPr>
        <w:t xml:space="preserve">set up as a future order </w:t>
      </w:r>
      <w:r w:rsidRPr="005C4ECC">
        <w:rPr>
          <w:rFonts w:ascii="Arial" w:hAnsi="Arial" w:cs="Arial"/>
          <w:b/>
          <w:sz w:val="20"/>
          <w:szCs w:val="20"/>
        </w:rPr>
        <w:t xml:space="preserve">AND a </w:t>
      </w:r>
      <w:r>
        <w:rPr>
          <w:rFonts w:ascii="Arial" w:hAnsi="Arial" w:cs="Arial"/>
          <w:b/>
          <w:sz w:val="20"/>
          <w:szCs w:val="20"/>
        </w:rPr>
        <w:t xml:space="preserve">system populated </w:t>
      </w:r>
      <w:r w:rsidRPr="005C4ECC">
        <w:rPr>
          <w:rFonts w:ascii="Arial" w:hAnsi="Arial" w:cs="Arial"/>
          <w:b/>
          <w:sz w:val="20"/>
          <w:szCs w:val="20"/>
        </w:rPr>
        <w:t xml:space="preserve">AOE to send the </w:t>
      </w:r>
      <w:proofErr w:type="spellStart"/>
      <w:r w:rsidRPr="005C4ECC">
        <w:rPr>
          <w:rFonts w:ascii="Arial" w:hAnsi="Arial" w:cs="Arial"/>
          <w:b/>
          <w:sz w:val="20"/>
          <w:szCs w:val="20"/>
        </w:rPr>
        <w:t>specimenID</w:t>
      </w:r>
      <w:proofErr w:type="spellEnd"/>
      <w:r w:rsidRPr="005C4ECC">
        <w:rPr>
          <w:rFonts w:ascii="Arial" w:hAnsi="Arial" w:cs="Arial"/>
          <w:b/>
          <w:sz w:val="20"/>
          <w:szCs w:val="20"/>
        </w:rPr>
        <w:t xml:space="preserve"> </w:t>
      </w:r>
      <w:r>
        <w:rPr>
          <w:rFonts w:ascii="Arial" w:hAnsi="Arial" w:cs="Arial"/>
          <w:b/>
          <w:sz w:val="20"/>
          <w:szCs w:val="20"/>
        </w:rPr>
        <w:t xml:space="preserve">(at least the placer </w:t>
      </w:r>
      <w:proofErr w:type="spellStart"/>
      <w:r>
        <w:rPr>
          <w:rFonts w:ascii="Arial" w:hAnsi="Arial" w:cs="Arial"/>
          <w:b/>
          <w:sz w:val="20"/>
          <w:szCs w:val="20"/>
        </w:rPr>
        <w:t>specimenID</w:t>
      </w:r>
      <w:proofErr w:type="spellEnd"/>
      <w:r>
        <w:rPr>
          <w:rFonts w:ascii="Arial" w:hAnsi="Arial" w:cs="Arial"/>
          <w:b/>
          <w:sz w:val="20"/>
          <w:szCs w:val="20"/>
        </w:rPr>
        <w:t xml:space="preserve">, but potentially could be the filler </w:t>
      </w:r>
      <w:proofErr w:type="spellStart"/>
      <w:r>
        <w:rPr>
          <w:rFonts w:ascii="Arial" w:hAnsi="Arial" w:cs="Arial"/>
          <w:b/>
          <w:sz w:val="20"/>
          <w:szCs w:val="20"/>
        </w:rPr>
        <w:t>specimenID</w:t>
      </w:r>
      <w:proofErr w:type="spellEnd"/>
      <w:r>
        <w:rPr>
          <w:rFonts w:ascii="Arial" w:hAnsi="Arial" w:cs="Arial"/>
          <w:b/>
          <w:sz w:val="20"/>
          <w:szCs w:val="20"/>
        </w:rPr>
        <w:t xml:space="preserve"> from the result) </w:t>
      </w:r>
      <w:r w:rsidRPr="005C4ECC">
        <w:rPr>
          <w:rFonts w:ascii="Arial" w:hAnsi="Arial" w:cs="Arial"/>
          <w:b/>
          <w:sz w:val="20"/>
          <w:szCs w:val="20"/>
        </w:rPr>
        <w:t>of the prior sample along</w:t>
      </w:r>
      <w:r>
        <w:rPr>
          <w:rFonts w:ascii="Arial" w:hAnsi="Arial" w:cs="Arial"/>
          <w:b/>
          <w:sz w:val="20"/>
          <w:szCs w:val="20"/>
        </w:rPr>
        <w:t xml:space="preserve">. </w:t>
      </w:r>
    </w:p>
    <w:p w:rsidR="00A1464C" w:rsidRDefault="00A1464C" w:rsidP="00A1464C">
      <w:r w:rsidRPr="008872B3">
        <w:rPr>
          <w:b/>
        </w:rPr>
        <w:t>Best practice</w:t>
      </w:r>
      <w:r>
        <w:t xml:space="preserve"> also would be to use the more specific specimen type of acute phase serum for the test of the first specimen and for convalescent phase serum for the test of the second specimen.</w:t>
      </w:r>
    </w:p>
    <w:p w:rsidR="00A1464C" w:rsidRPr="00C5620E" w:rsidRDefault="00A1464C" w:rsidP="00A1464C">
      <w:pPr>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eDOS</w:t>
      </w:r>
      <w:proofErr w:type="spellEnd"/>
      <w:r>
        <w:rPr>
          <w:rFonts w:ascii="Arial" w:hAnsi="Arial" w:cs="Arial"/>
          <w:sz w:val="20"/>
          <w:szCs w:val="20"/>
        </w:rPr>
        <w:t>:</w:t>
      </w:r>
    </w:p>
    <w:p w:rsidR="00A1464C" w:rsidRDefault="00A1464C" w:rsidP="00A1464C">
      <w:pPr>
        <w:rPr>
          <w:rFonts w:ascii="Arial" w:hAnsi="Arial" w:cs="Arial"/>
          <w:sz w:val="20"/>
          <w:szCs w:val="20"/>
        </w:rPr>
      </w:pPr>
      <w:r w:rsidRPr="00C5620E">
        <w:rPr>
          <w:rFonts w:ascii="Arial" w:hAnsi="Arial" w:cs="Arial"/>
          <w:sz w:val="20"/>
          <w:szCs w:val="20"/>
        </w:rPr>
        <w:t xml:space="preserve">Need to be sure to collect enough </w:t>
      </w:r>
      <w:proofErr w:type="gramStart"/>
      <w:r w:rsidRPr="00C5620E">
        <w:rPr>
          <w:rFonts w:ascii="Arial" w:hAnsi="Arial" w:cs="Arial"/>
          <w:sz w:val="20"/>
          <w:szCs w:val="20"/>
        </w:rPr>
        <w:t>specimen</w:t>
      </w:r>
      <w:proofErr w:type="gramEnd"/>
      <w:r w:rsidRPr="00C5620E">
        <w:rPr>
          <w:rFonts w:ascii="Arial" w:hAnsi="Arial" w:cs="Arial"/>
          <w:sz w:val="20"/>
          <w:szCs w:val="20"/>
        </w:rPr>
        <w:t xml:space="preserve"> to support testing the first sample twice (so specify the minimum amount accordingly and indicate that container sharing is allowed or not, to ensure there is enough sample left)</w:t>
      </w:r>
      <w:r>
        <w:rPr>
          <w:rFonts w:ascii="Arial" w:hAnsi="Arial" w:cs="Arial"/>
          <w:sz w:val="20"/>
          <w:szCs w:val="20"/>
        </w:rPr>
        <w:t xml:space="preserve"> and communicate that via the setup o</w:t>
      </w:r>
      <w:r>
        <w:rPr>
          <w:rFonts w:ascii="Arial" w:hAnsi="Arial" w:cs="Arial"/>
          <w:sz w:val="20"/>
          <w:szCs w:val="20"/>
        </w:rPr>
        <w:t>f the test compendium.</w:t>
      </w:r>
    </w:p>
    <w:p w:rsidR="00A1464C" w:rsidRDefault="00A1464C" w:rsidP="00A1464C">
      <w:pPr>
        <w:rPr>
          <w:rFonts w:ascii="Arial" w:hAnsi="Arial" w:cs="Arial"/>
          <w:sz w:val="20"/>
          <w:szCs w:val="20"/>
        </w:rPr>
      </w:pPr>
      <w:r>
        <w:rPr>
          <w:rFonts w:ascii="Arial" w:hAnsi="Arial" w:cs="Arial"/>
          <w:sz w:val="20"/>
          <w:szCs w:val="20"/>
        </w:rPr>
        <w:t>Discussion:</w:t>
      </w:r>
    </w:p>
    <w:p w:rsidR="00A1464C" w:rsidRDefault="00A1464C" w:rsidP="00A1464C">
      <w:pPr>
        <w:rPr>
          <w:rFonts w:ascii="Arial" w:hAnsi="Arial" w:cs="Arial"/>
          <w:sz w:val="20"/>
          <w:szCs w:val="20"/>
        </w:rPr>
      </w:pPr>
      <w:r>
        <w:rPr>
          <w:rFonts w:ascii="Arial" w:hAnsi="Arial" w:cs="Arial"/>
          <w:sz w:val="20"/>
          <w:szCs w:val="20"/>
        </w:rPr>
        <w:lastRenderedPageBreak/>
        <w:t>Agree this is the solution for ELR, but f</w:t>
      </w:r>
      <w:r>
        <w:rPr>
          <w:rFonts w:ascii="Arial" w:hAnsi="Arial" w:cs="Arial"/>
          <w:sz w:val="20"/>
          <w:szCs w:val="20"/>
        </w:rPr>
        <w:t>or LRI should be able to do it the other way</w:t>
      </w:r>
      <w:r>
        <w:rPr>
          <w:rFonts w:ascii="Arial" w:hAnsi="Arial" w:cs="Arial"/>
          <w:sz w:val="20"/>
          <w:szCs w:val="20"/>
        </w:rPr>
        <w:t xml:space="preserve"> using a single OBR</w:t>
      </w:r>
      <w:r>
        <w:rPr>
          <w:rFonts w:ascii="Arial" w:hAnsi="Arial" w:cs="Arial"/>
          <w:sz w:val="20"/>
          <w:szCs w:val="20"/>
        </w:rPr>
        <w:t xml:space="preserve">, as </w:t>
      </w:r>
      <w:r>
        <w:rPr>
          <w:rFonts w:ascii="Arial" w:hAnsi="Arial" w:cs="Arial"/>
          <w:sz w:val="20"/>
          <w:szCs w:val="20"/>
        </w:rPr>
        <w:t>LRI</w:t>
      </w:r>
      <w:r>
        <w:rPr>
          <w:rFonts w:ascii="Arial" w:hAnsi="Arial" w:cs="Arial"/>
          <w:sz w:val="20"/>
          <w:szCs w:val="20"/>
        </w:rPr>
        <w:t xml:space="preserve"> can support multiple SPMs</w:t>
      </w:r>
    </w:p>
    <w:p w:rsidR="002C57BE" w:rsidRDefault="00A1464C">
      <w:r>
        <w:t>Issue with that is that the current structure does NOT provide linkage between the OBX and the SPM it belongs to – we have 2 choices to remedy that:</w:t>
      </w:r>
    </w:p>
    <w:p w:rsidR="00A1464C" w:rsidRDefault="00A1464C" w:rsidP="00A1464C">
      <w:pPr>
        <w:pStyle w:val="ListParagraph"/>
        <w:numPr>
          <w:ilvl w:val="0"/>
          <w:numId w:val="1"/>
        </w:numPr>
      </w:pPr>
      <w:r>
        <w:t>Add OBX with related SPM-ID with or without using OBX-4 to link them together</w:t>
      </w:r>
    </w:p>
    <w:p w:rsidR="00A1464C" w:rsidRDefault="00A1464C" w:rsidP="00A1464C">
      <w:pPr>
        <w:pStyle w:val="ListParagraph"/>
        <w:numPr>
          <w:ilvl w:val="0"/>
          <w:numId w:val="1"/>
        </w:numPr>
      </w:pPr>
      <w:r>
        <w:t>Make CR for v2.9+ to add a field to OBX that indicates the related SPM-ID (as EIP)</w:t>
      </w:r>
    </w:p>
    <w:sectPr w:rsidR="00A1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98E"/>
    <w:multiLevelType w:val="hybridMultilevel"/>
    <w:tmpl w:val="4AFE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93"/>
    <w:rsid w:val="000000AA"/>
    <w:rsid w:val="000007F4"/>
    <w:rsid w:val="00003D73"/>
    <w:rsid w:val="00003DF8"/>
    <w:rsid w:val="00004D7B"/>
    <w:rsid w:val="0000736B"/>
    <w:rsid w:val="000113F4"/>
    <w:rsid w:val="00012F92"/>
    <w:rsid w:val="00014A11"/>
    <w:rsid w:val="00017044"/>
    <w:rsid w:val="00020E55"/>
    <w:rsid w:val="00023D7A"/>
    <w:rsid w:val="0002411B"/>
    <w:rsid w:val="00031488"/>
    <w:rsid w:val="0003394D"/>
    <w:rsid w:val="00034E3B"/>
    <w:rsid w:val="00037382"/>
    <w:rsid w:val="0004020E"/>
    <w:rsid w:val="0004186E"/>
    <w:rsid w:val="00041A0F"/>
    <w:rsid w:val="00041F48"/>
    <w:rsid w:val="00042248"/>
    <w:rsid w:val="0004508A"/>
    <w:rsid w:val="00045804"/>
    <w:rsid w:val="000460F4"/>
    <w:rsid w:val="00051AA1"/>
    <w:rsid w:val="0005366A"/>
    <w:rsid w:val="000579BE"/>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B25E0"/>
    <w:rsid w:val="000C000B"/>
    <w:rsid w:val="000C12A7"/>
    <w:rsid w:val="000C2E24"/>
    <w:rsid w:val="000C3E7B"/>
    <w:rsid w:val="000C44FF"/>
    <w:rsid w:val="000C6EBB"/>
    <w:rsid w:val="000D0973"/>
    <w:rsid w:val="000D12A3"/>
    <w:rsid w:val="000D4DDF"/>
    <w:rsid w:val="000D5A2D"/>
    <w:rsid w:val="000E36A6"/>
    <w:rsid w:val="000E3B1F"/>
    <w:rsid w:val="000E4EEC"/>
    <w:rsid w:val="000E5DE1"/>
    <w:rsid w:val="000E7982"/>
    <w:rsid w:val="000F1530"/>
    <w:rsid w:val="000F1690"/>
    <w:rsid w:val="000F346D"/>
    <w:rsid w:val="000F3611"/>
    <w:rsid w:val="000F69F4"/>
    <w:rsid w:val="0010188D"/>
    <w:rsid w:val="001019AD"/>
    <w:rsid w:val="001026C9"/>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BC8"/>
    <w:rsid w:val="00157A55"/>
    <w:rsid w:val="00162212"/>
    <w:rsid w:val="0016299F"/>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3B40"/>
    <w:rsid w:val="001A462D"/>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29C"/>
    <w:rsid w:val="00212E98"/>
    <w:rsid w:val="00213EA6"/>
    <w:rsid w:val="0021533B"/>
    <w:rsid w:val="002153FA"/>
    <w:rsid w:val="00215E53"/>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0C03"/>
    <w:rsid w:val="00291257"/>
    <w:rsid w:val="00291601"/>
    <w:rsid w:val="00293005"/>
    <w:rsid w:val="00293BE2"/>
    <w:rsid w:val="00293BF4"/>
    <w:rsid w:val="00293E5C"/>
    <w:rsid w:val="002943D8"/>
    <w:rsid w:val="00294A76"/>
    <w:rsid w:val="002956D2"/>
    <w:rsid w:val="00296A37"/>
    <w:rsid w:val="002A1593"/>
    <w:rsid w:val="002A49E0"/>
    <w:rsid w:val="002A5056"/>
    <w:rsid w:val="002A52FD"/>
    <w:rsid w:val="002B61A8"/>
    <w:rsid w:val="002B6322"/>
    <w:rsid w:val="002B7A28"/>
    <w:rsid w:val="002B7C12"/>
    <w:rsid w:val="002C0B2B"/>
    <w:rsid w:val="002C2A5F"/>
    <w:rsid w:val="002C3F63"/>
    <w:rsid w:val="002C56DC"/>
    <w:rsid w:val="002C57BE"/>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F0E5D"/>
    <w:rsid w:val="002F27BC"/>
    <w:rsid w:val="002F663D"/>
    <w:rsid w:val="00302F7B"/>
    <w:rsid w:val="00303040"/>
    <w:rsid w:val="003038E6"/>
    <w:rsid w:val="003041B4"/>
    <w:rsid w:val="00306468"/>
    <w:rsid w:val="00306D95"/>
    <w:rsid w:val="00312DB9"/>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47BD4"/>
    <w:rsid w:val="00350309"/>
    <w:rsid w:val="00351242"/>
    <w:rsid w:val="00352483"/>
    <w:rsid w:val="00352C9B"/>
    <w:rsid w:val="00353354"/>
    <w:rsid w:val="00354196"/>
    <w:rsid w:val="003556A3"/>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4CBD"/>
    <w:rsid w:val="00385818"/>
    <w:rsid w:val="003876D9"/>
    <w:rsid w:val="00387DB7"/>
    <w:rsid w:val="00390016"/>
    <w:rsid w:val="00390447"/>
    <w:rsid w:val="00391B57"/>
    <w:rsid w:val="00392E80"/>
    <w:rsid w:val="003957DD"/>
    <w:rsid w:val="00396AB7"/>
    <w:rsid w:val="003A4EDC"/>
    <w:rsid w:val="003A5A4A"/>
    <w:rsid w:val="003B09B5"/>
    <w:rsid w:val="003B2BF1"/>
    <w:rsid w:val="003B3E29"/>
    <w:rsid w:val="003B3EA1"/>
    <w:rsid w:val="003B5109"/>
    <w:rsid w:val="003B52D0"/>
    <w:rsid w:val="003B7387"/>
    <w:rsid w:val="003C0A6C"/>
    <w:rsid w:val="003C0BF0"/>
    <w:rsid w:val="003C118D"/>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AD0"/>
    <w:rsid w:val="004033DD"/>
    <w:rsid w:val="00404578"/>
    <w:rsid w:val="00406090"/>
    <w:rsid w:val="00407075"/>
    <w:rsid w:val="004075AC"/>
    <w:rsid w:val="004105B8"/>
    <w:rsid w:val="00410F3A"/>
    <w:rsid w:val="004204F8"/>
    <w:rsid w:val="00420957"/>
    <w:rsid w:val="00420A2A"/>
    <w:rsid w:val="00420A6C"/>
    <w:rsid w:val="00424A42"/>
    <w:rsid w:val="00424FF3"/>
    <w:rsid w:val="00425C8C"/>
    <w:rsid w:val="004273D0"/>
    <w:rsid w:val="004303A7"/>
    <w:rsid w:val="00432998"/>
    <w:rsid w:val="00436931"/>
    <w:rsid w:val="004371BB"/>
    <w:rsid w:val="004400F6"/>
    <w:rsid w:val="004403BC"/>
    <w:rsid w:val="00442A34"/>
    <w:rsid w:val="00442A82"/>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7FD"/>
    <w:rsid w:val="00490ADF"/>
    <w:rsid w:val="00492B45"/>
    <w:rsid w:val="00492DE6"/>
    <w:rsid w:val="00493697"/>
    <w:rsid w:val="00495B05"/>
    <w:rsid w:val="00495D5B"/>
    <w:rsid w:val="004973B1"/>
    <w:rsid w:val="004973BE"/>
    <w:rsid w:val="004A0D8C"/>
    <w:rsid w:val="004A1AF2"/>
    <w:rsid w:val="004A3FD6"/>
    <w:rsid w:val="004A5013"/>
    <w:rsid w:val="004A551B"/>
    <w:rsid w:val="004B03F4"/>
    <w:rsid w:val="004B093F"/>
    <w:rsid w:val="004B155F"/>
    <w:rsid w:val="004B1ACA"/>
    <w:rsid w:val="004B5D2C"/>
    <w:rsid w:val="004B6229"/>
    <w:rsid w:val="004B6C7A"/>
    <w:rsid w:val="004C4367"/>
    <w:rsid w:val="004C48F4"/>
    <w:rsid w:val="004C4D90"/>
    <w:rsid w:val="004D0801"/>
    <w:rsid w:val="004D1C2C"/>
    <w:rsid w:val="004D2BEB"/>
    <w:rsid w:val="004D42F1"/>
    <w:rsid w:val="004D5A8F"/>
    <w:rsid w:val="004D5C28"/>
    <w:rsid w:val="004D6CA9"/>
    <w:rsid w:val="004E0A00"/>
    <w:rsid w:val="004E39B1"/>
    <w:rsid w:val="004E39E0"/>
    <w:rsid w:val="004E4210"/>
    <w:rsid w:val="004E64F8"/>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76893"/>
    <w:rsid w:val="005802B0"/>
    <w:rsid w:val="005816D2"/>
    <w:rsid w:val="005841FD"/>
    <w:rsid w:val="00585071"/>
    <w:rsid w:val="00586B95"/>
    <w:rsid w:val="00586D51"/>
    <w:rsid w:val="00586FC5"/>
    <w:rsid w:val="00591459"/>
    <w:rsid w:val="005916C4"/>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5A7"/>
    <w:rsid w:val="005C793E"/>
    <w:rsid w:val="005D05C2"/>
    <w:rsid w:val="005D4DFA"/>
    <w:rsid w:val="005E0BAB"/>
    <w:rsid w:val="005E25ED"/>
    <w:rsid w:val="005E2B62"/>
    <w:rsid w:val="005E5454"/>
    <w:rsid w:val="005E5E83"/>
    <w:rsid w:val="005E6E61"/>
    <w:rsid w:val="005F1605"/>
    <w:rsid w:val="005F1CE2"/>
    <w:rsid w:val="005F1FC1"/>
    <w:rsid w:val="005F368D"/>
    <w:rsid w:val="005F4C6D"/>
    <w:rsid w:val="00600843"/>
    <w:rsid w:val="006019DF"/>
    <w:rsid w:val="00603845"/>
    <w:rsid w:val="0060567F"/>
    <w:rsid w:val="00606B81"/>
    <w:rsid w:val="00606C61"/>
    <w:rsid w:val="00607D57"/>
    <w:rsid w:val="00607F23"/>
    <w:rsid w:val="00610B87"/>
    <w:rsid w:val="00610CE4"/>
    <w:rsid w:val="00615709"/>
    <w:rsid w:val="00616305"/>
    <w:rsid w:val="00620CFB"/>
    <w:rsid w:val="00621C2F"/>
    <w:rsid w:val="00621C98"/>
    <w:rsid w:val="00623284"/>
    <w:rsid w:val="00623F62"/>
    <w:rsid w:val="006251E7"/>
    <w:rsid w:val="00625E22"/>
    <w:rsid w:val="00626A9A"/>
    <w:rsid w:val="0063036C"/>
    <w:rsid w:val="006324C4"/>
    <w:rsid w:val="00632D03"/>
    <w:rsid w:val="00641569"/>
    <w:rsid w:val="0064164C"/>
    <w:rsid w:val="00642430"/>
    <w:rsid w:val="00644EB4"/>
    <w:rsid w:val="00646508"/>
    <w:rsid w:val="00651CBC"/>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3E0"/>
    <w:rsid w:val="006A3408"/>
    <w:rsid w:val="006A5508"/>
    <w:rsid w:val="006B0EDD"/>
    <w:rsid w:val="006B3B8F"/>
    <w:rsid w:val="006B3EDD"/>
    <w:rsid w:val="006B404F"/>
    <w:rsid w:val="006B77CF"/>
    <w:rsid w:val="006B7DD5"/>
    <w:rsid w:val="006C30AC"/>
    <w:rsid w:val="006C63BD"/>
    <w:rsid w:val="006C6561"/>
    <w:rsid w:val="006D010B"/>
    <w:rsid w:val="006D122F"/>
    <w:rsid w:val="006D137D"/>
    <w:rsid w:val="006E202F"/>
    <w:rsid w:val="006F083D"/>
    <w:rsid w:val="006F0AFF"/>
    <w:rsid w:val="006F2E6D"/>
    <w:rsid w:val="006F3048"/>
    <w:rsid w:val="006F4B56"/>
    <w:rsid w:val="006F6200"/>
    <w:rsid w:val="00701D1F"/>
    <w:rsid w:val="00703232"/>
    <w:rsid w:val="00703AF5"/>
    <w:rsid w:val="00703DFA"/>
    <w:rsid w:val="00711FC9"/>
    <w:rsid w:val="007210A3"/>
    <w:rsid w:val="007223C1"/>
    <w:rsid w:val="00723446"/>
    <w:rsid w:val="00724488"/>
    <w:rsid w:val="00724EE4"/>
    <w:rsid w:val="00726548"/>
    <w:rsid w:val="00727F6E"/>
    <w:rsid w:val="00733596"/>
    <w:rsid w:val="00734A21"/>
    <w:rsid w:val="007355E2"/>
    <w:rsid w:val="00736D02"/>
    <w:rsid w:val="00741E8D"/>
    <w:rsid w:val="007452E6"/>
    <w:rsid w:val="00745EE7"/>
    <w:rsid w:val="00746D7B"/>
    <w:rsid w:val="00746F2A"/>
    <w:rsid w:val="0074706E"/>
    <w:rsid w:val="0075114F"/>
    <w:rsid w:val="00752DBD"/>
    <w:rsid w:val="00753F48"/>
    <w:rsid w:val="00756D06"/>
    <w:rsid w:val="00757BA2"/>
    <w:rsid w:val="00757D1B"/>
    <w:rsid w:val="00757D8B"/>
    <w:rsid w:val="007607E7"/>
    <w:rsid w:val="007619FC"/>
    <w:rsid w:val="007649D5"/>
    <w:rsid w:val="00767243"/>
    <w:rsid w:val="00773150"/>
    <w:rsid w:val="00774E8B"/>
    <w:rsid w:val="00781DDD"/>
    <w:rsid w:val="0078265B"/>
    <w:rsid w:val="007845CB"/>
    <w:rsid w:val="007865AE"/>
    <w:rsid w:val="0079015D"/>
    <w:rsid w:val="00794642"/>
    <w:rsid w:val="0079466A"/>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5DCB"/>
    <w:rsid w:val="007E67C3"/>
    <w:rsid w:val="007E7431"/>
    <w:rsid w:val="007F414F"/>
    <w:rsid w:val="007F4B56"/>
    <w:rsid w:val="007F52B5"/>
    <w:rsid w:val="007F6FE5"/>
    <w:rsid w:val="007F741C"/>
    <w:rsid w:val="007F7EF5"/>
    <w:rsid w:val="008046B0"/>
    <w:rsid w:val="00804FB9"/>
    <w:rsid w:val="00806D63"/>
    <w:rsid w:val="008070F3"/>
    <w:rsid w:val="00812AD9"/>
    <w:rsid w:val="00812C03"/>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438C"/>
    <w:rsid w:val="008C55F0"/>
    <w:rsid w:val="008C6373"/>
    <w:rsid w:val="008D0EF7"/>
    <w:rsid w:val="008D23B9"/>
    <w:rsid w:val="008D2C33"/>
    <w:rsid w:val="008D3A25"/>
    <w:rsid w:val="008D4CDA"/>
    <w:rsid w:val="008D4F2F"/>
    <w:rsid w:val="008D75F8"/>
    <w:rsid w:val="008E1164"/>
    <w:rsid w:val="008E2075"/>
    <w:rsid w:val="008E2537"/>
    <w:rsid w:val="008E2E8F"/>
    <w:rsid w:val="008E4081"/>
    <w:rsid w:val="008E67D0"/>
    <w:rsid w:val="008E6E70"/>
    <w:rsid w:val="008E729F"/>
    <w:rsid w:val="008E76E8"/>
    <w:rsid w:val="008F010E"/>
    <w:rsid w:val="008F0786"/>
    <w:rsid w:val="008F0A50"/>
    <w:rsid w:val="008F1263"/>
    <w:rsid w:val="008F2B61"/>
    <w:rsid w:val="008F406F"/>
    <w:rsid w:val="008F48F3"/>
    <w:rsid w:val="008F6F81"/>
    <w:rsid w:val="00900128"/>
    <w:rsid w:val="00900419"/>
    <w:rsid w:val="00901A1A"/>
    <w:rsid w:val="0090290B"/>
    <w:rsid w:val="00904374"/>
    <w:rsid w:val="00904A5A"/>
    <w:rsid w:val="00905AD2"/>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0C67"/>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252"/>
    <w:rsid w:val="0098536E"/>
    <w:rsid w:val="00987B92"/>
    <w:rsid w:val="00987FA0"/>
    <w:rsid w:val="009903CC"/>
    <w:rsid w:val="009907CA"/>
    <w:rsid w:val="0099093D"/>
    <w:rsid w:val="00990D01"/>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44CE"/>
    <w:rsid w:val="009C5543"/>
    <w:rsid w:val="009C673E"/>
    <w:rsid w:val="009D4B00"/>
    <w:rsid w:val="009E053C"/>
    <w:rsid w:val="009E297F"/>
    <w:rsid w:val="009E41FF"/>
    <w:rsid w:val="009E7544"/>
    <w:rsid w:val="009E7896"/>
    <w:rsid w:val="009F1C7F"/>
    <w:rsid w:val="009F3205"/>
    <w:rsid w:val="009F698A"/>
    <w:rsid w:val="009F7DCF"/>
    <w:rsid w:val="00A003EE"/>
    <w:rsid w:val="00A013FF"/>
    <w:rsid w:val="00A01A48"/>
    <w:rsid w:val="00A01F91"/>
    <w:rsid w:val="00A03D04"/>
    <w:rsid w:val="00A0495D"/>
    <w:rsid w:val="00A06851"/>
    <w:rsid w:val="00A11494"/>
    <w:rsid w:val="00A1410F"/>
    <w:rsid w:val="00A1464C"/>
    <w:rsid w:val="00A14690"/>
    <w:rsid w:val="00A150FD"/>
    <w:rsid w:val="00A15A8C"/>
    <w:rsid w:val="00A17558"/>
    <w:rsid w:val="00A20404"/>
    <w:rsid w:val="00A224EA"/>
    <w:rsid w:val="00A23650"/>
    <w:rsid w:val="00A23D97"/>
    <w:rsid w:val="00A24F7E"/>
    <w:rsid w:val="00A25A4B"/>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750F"/>
    <w:rsid w:val="00A9004F"/>
    <w:rsid w:val="00A903E8"/>
    <w:rsid w:val="00A91B46"/>
    <w:rsid w:val="00A9364E"/>
    <w:rsid w:val="00A94CD3"/>
    <w:rsid w:val="00A9623A"/>
    <w:rsid w:val="00A96B31"/>
    <w:rsid w:val="00AA18D4"/>
    <w:rsid w:val="00AA33C0"/>
    <w:rsid w:val="00AA3E96"/>
    <w:rsid w:val="00AA4337"/>
    <w:rsid w:val="00AA4454"/>
    <w:rsid w:val="00AA5E67"/>
    <w:rsid w:val="00AB062E"/>
    <w:rsid w:val="00AB29E9"/>
    <w:rsid w:val="00AB4BCB"/>
    <w:rsid w:val="00AB500D"/>
    <w:rsid w:val="00AB5DFF"/>
    <w:rsid w:val="00AC151C"/>
    <w:rsid w:val="00AC3215"/>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1688"/>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2903"/>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653BC"/>
    <w:rsid w:val="00B748CB"/>
    <w:rsid w:val="00B75724"/>
    <w:rsid w:val="00B7595A"/>
    <w:rsid w:val="00B76AC7"/>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D7939"/>
    <w:rsid w:val="00BE23BC"/>
    <w:rsid w:val="00BE2B7D"/>
    <w:rsid w:val="00BE3B01"/>
    <w:rsid w:val="00BF15A7"/>
    <w:rsid w:val="00BF25A1"/>
    <w:rsid w:val="00BF2ACC"/>
    <w:rsid w:val="00BF39C2"/>
    <w:rsid w:val="00BF4FB8"/>
    <w:rsid w:val="00BF6647"/>
    <w:rsid w:val="00BF6B5E"/>
    <w:rsid w:val="00BF7C4C"/>
    <w:rsid w:val="00C06A7E"/>
    <w:rsid w:val="00C12449"/>
    <w:rsid w:val="00C14338"/>
    <w:rsid w:val="00C23169"/>
    <w:rsid w:val="00C23686"/>
    <w:rsid w:val="00C26076"/>
    <w:rsid w:val="00C26386"/>
    <w:rsid w:val="00C26D72"/>
    <w:rsid w:val="00C277FE"/>
    <w:rsid w:val="00C27CC8"/>
    <w:rsid w:val="00C312D2"/>
    <w:rsid w:val="00C318FB"/>
    <w:rsid w:val="00C3309E"/>
    <w:rsid w:val="00C400E7"/>
    <w:rsid w:val="00C40E7A"/>
    <w:rsid w:val="00C40F2A"/>
    <w:rsid w:val="00C4173D"/>
    <w:rsid w:val="00C424BE"/>
    <w:rsid w:val="00C42B46"/>
    <w:rsid w:val="00C448A4"/>
    <w:rsid w:val="00C469D4"/>
    <w:rsid w:val="00C46DC8"/>
    <w:rsid w:val="00C472CB"/>
    <w:rsid w:val="00C51D04"/>
    <w:rsid w:val="00C51F69"/>
    <w:rsid w:val="00C52044"/>
    <w:rsid w:val="00C540C9"/>
    <w:rsid w:val="00C54A69"/>
    <w:rsid w:val="00C552A0"/>
    <w:rsid w:val="00C5687C"/>
    <w:rsid w:val="00C60E39"/>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3DC8"/>
    <w:rsid w:val="00C9405A"/>
    <w:rsid w:val="00C94633"/>
    <w:rsid w:val="00C95600"/>
    <w:rsid w:val="00C95AEB"/>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D15"/>
    <w:rsid w:val="00D16500"/>
    <w:rsid w:val="00D21417"/>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FD3"/>
    <w:rsid w:val="00D60177"/>
    <w:rsid w:val="00D61506"/>
    <w:rsid w:val="00D61DE1"/>
    <w:rsid w:val="00D62023"/>
    <w:rsid w:val="00D624E6"/>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2092"/>
    <w:rsid w:val="00DA2767"/>
    <w:rsid w:val="00DA443E"/>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5AD"/>
    <w:rsid w:val="00DD48E0"/>
    <w:rsid w:val="00DE0341"/>
    <w:rsid w:val="00DE0E63"/>
    <w:rsid w:val="00DE698E"/>
    <w:rsid w:val="00DE7F5D"/>
    <w:rsid w:val="00DF1224"/>
    <w:rsid w:val="00DF4588"/>
    <w:rsid w:val="00DF53B1"/>
    <w:rsid w:val="00DF7B4B"/>
    <w:rsid w:val="00E01112"/>
    <w:rsid w:val="00E018D7"/>
    <w:rsid w:val="00E03E79"/>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3D96"/>
    <w:rsid w:val="00E5467C"/>
    <w:rsid w:val="00E5606D"/>
    <w:rsid w:val="00E61918"/>
    <w:rsid w:val="00E62870"/>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B68"/>
    <w:rsid w:val="00EA244D"/>
    <w:rsid w:val="00EA4A35"/>
    <w:rsid w:val="00EA5F19"/>
    <w:rsid w:val="00EA7572"/>
    <w:rsid w:val="00EA7C7A"/>
    <w:rsid w:val="00EA7DB1"/>
    <w:rsid w:val="00EB2C55"/>
    <w:rsid w:val="00EB3ED8"/>
    <w:rsid w:val="00EB4F14"/>
    <w:rsid w:val="00EB5D18"/>
    <w:rsid w:val="00EB6FF0"/>
    <w:rsid w:val="00EC099B"/>
    <w:rsid w:val="00EC13D8"/>
    <w:rsid w:val="00EC193B"/>
    <w:rsid w:val="00EC424A"/>
    <w:rsid w:val="00EC591E"/>
    <w:rsid w:val="00EC5AD9"/>
    <w:rsid w:val="00EC6449"/>
    <w:rsid w:val="00ED079C"/>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F0186D"/>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4B01"/>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A7B36"/>
    <w:rsid w:val="00FA7B94"/>
    <w:rsid w:val="00FB126E"/>
    <w:rsid w:val="00FC0FF6"/>
    <w:rsid w:val="00FC2D45"/>
    <w:rsid w:val="00FC5013"/>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4C"/>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3</cp:revision>
  <dcterms:created xsi:type="dcterms:W3CDTF">2017-08-31T18:56:00Z</dcterms:created>
  <dcterms:modified xsi:type="dcterms:W3CDTF">2017-08-31T20:13:00Z</dcterms:modified>
</cp:coreProperties>
</file>