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4051"/>
        <w:gridCol w:w="4081"/>
      </w:tblGrid>
      <w:tr w:rsidR="00842BB5" w:rsidRPr="00842BB5" w14:paraId="239BEDB6" w14:textId="77777777" w:rsidTr="00842BB5">
        <w:tc>
          <w:tcPr>
            <w:tcW w:w="1444" w:type="dxa"/>
          </w:tcPr>
          <w:p w14:paraId="05CD0EFD" w14:textId="77777777" w:rsidR="00842BB5" w:rsidRDefault="001B4228" w:rsidP="009C598E">
            <w:pPr>
              <w:rPr>
                <w:b/>
                <w:sz w:val="16"/>
              </w:rPr>
            </w:pPr>
            <w:r w:rsidRPr="001B4228">
              <w:rPr>
                <w:b/>
                <w:sz w:val="16"/>
              </w:rPr>
              <w:t>Coding Strength-&gt;</w:t>
            </w:r>
          </w:p>
          <w:p w14:paraId="26C4A287" w14:textId="77777777" w:rsidR="001B4228" w:rsidRDefault="001B4228" w:rsidP="009C59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Conformance Expectation</w:t>
            </w:r>
          </w:p>
          <w:p w14:paraId="609BEBBC" w14:textId="77777777" w:rsidR="001B4228" w:rsidRDefault="001B4228" w:rsidP="009C59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|</w:t>
            </w:r>
          </w:p>
          <w:p w14:paraId="58AF6B34" w14:textId="77777777" w:rsidR="001B4228" w:rsidRPr="00842BB5" w:rsidRDefault="001B4228" w:rsidP="009C598E">
            <w:pPr>
              <w:rPr>
                <w:b/>
              </w:rPr>
            </w:pPr>
            <w:r>
              <w:rPr>
                <w:b/>
                <w:sz w:val="16"/>
              </w:rPr>
              <w:t xml:space="preserve">        V</w:t>
            </w:r>
          </w:p>
        </w:tc>
        <w:tc>
          <w:tcPr>
            <w:tcW w:w="4051" w:type="dxa"/>
          </w:tcPr>
          <w:p w14:paraId="5CB096E9" w14:textId="77777777" w:rsidR="00842BB5" w:rsidRPr="00842BB5" w:rsidRDefault="00842BB5" w:rsidP="009C598E">
            <w:pPr>
              <w:rPr>
                <w:b/>
              </w:rPr>
            </w:pPr>
            <w:r w:rsidRPr="00842BB5">
              <w:rPr>
                <w:b/>
              </w:rPr>
              <w:t>CNE</w:t>
            </w:r>
          </w:p>
        </w:tc>
        <w:tc>
          <w:tcPr>
            <w:tcW w:w="4081" w:type="dxa"/>
          </w:tcPr>
          <w:p w14:paraId="7D9A4D7F" w14:textId="77777777" w:rsidR="00842BB5" w:rsidRPr="00842BB5" w:rsidRDefault="00842BB5" w:rsidP="009C598E">
            <w:pPr>
              <w:rPr>
                <w:b/>
              </w:rPr>
            </w:pPr>
            <w:r w:rsidRPr="00842BB5">
              <w:rPr>
                <w:b/>
              </w:rPr>
              <w:t>CWE</w:t>
            </w:r>
          </w:p>
        </w:tc>
      </w:tr>
      <w:tr w:rsidR="00842BB5" w:rsidRPr="00842BB5" w14:paraId="304B4D41" w14:textId="77777777" w:rsidTr="00842BB5">
        <w:tc>
          <w:tcPr>
            <w:tcW w:w="1444" w:type="dxa"/>
          </w:tcPr>
          <w:p w14:paraId="2FFB1A3D" w14:textId="77777777" w:rsidR="00842BB5" w:rsidRPr="00842BB5" w:rsidRDefault="001B4228" w:rsidP="009C598E">
            <w:r w:rsidRPr="00842BB5">
              <w:rPr>
                <w:b/>
              </w:rPr>
              <w:t>SHALL</w:t>
            </w:r>
          </w:p>
        </w:tc>
        <w:tc>
          <w:tcPr>
            <w:tcW w:w="4051" w:type="dxa"/>
          </w:tcPr>
          <w:p w14:paraId="4F2A55B3" w14:textId="77777777" w:rsidR="00842BB5" w:rsidRPr="00842BB5" w:rsidRDefault="00842BB5" w:rsidP="009C598E">
            <w:r w:rsidRPr="00842BB5">
              <w:t>If the element is non-null, the code MUST come from the specified value set</w:t>
            </w:r>
            <w:r w:rsidR="001B4228">
              <w:t xml:space="preserve"> to be </w:t>
            </w:r>
            <w:proofErr w:type="gramStart"/>
            <w:r w:rsidR="001B4228">
              <w:t>considered  conformant</w:t>
            </w:r>
            <w:proofErr w:type="gramEnd"/>
          </w:p>
        </w:tc>
        <w:tc>
          <w:tcPr>
            <w:tcW w:w="4081" w:type="dxa"/>
          </w:tcPr>
          <w:p w14:paraId="26268F11" w14:textId="77777777" w:rsidR="00842BB5" w:rsidRPr="00842BB5" w:rsidRDefault="00842BB5" w:rsidP="001B4228">
            <w:r>
              <w:t xml:space="preserve">If the element is non-null and the concept being expressed </w:t>
            </w:r>
            <w:r>
              <w:rPr>
                <w:b/>
              </w:rPr>
              <w:t>can</w:t>
            </w:r>
            <w:r>
              <w:t xml:space="preserve"> be expressed in the specified value set, a code from the value set must be sent.  If the concept </w:t>
            </w:r>
            <w:r w:rsidR="001B4228">
              <w:rPr>
                <w:b/>
              </w:rPr>
              <w:t>cannot</w:t>
            </w:r>
            <w:r w:rsidR="009C598E">
              <w:t xml:space="preserve"> be expressed </w:t>
            </w:r>
            <w:r>
              <w:t>in the specified value set, then a code from outside the value set (from the same code system or some other code system) can be used</w:t>
            </w:r>
            <w:r w:rsidR="001B4228">
              <w:t>,</w:t>
            </w:r>
            <w:r>
              <w:t xml:space="preserve"> or the concept can be </w:t>
            </w:r>
            <w:r w:rsidR="001B4228">
              <w:t>expressed only as original text, to be considered conformant.</w:t>
            </w:r>
          </w:p>
        </w:tc>
      </w:tr>
      <w:tr w:rsidR="00842BB5" w:rsidRPr="00842BB5" w14:paraId="50848208" w14:textId="77777777" w:rsidTr="00842BB5">
        <w:tc>
          <w:tcPr>
            <w:tcW w:w="1444" w:type="dxa"/>
          </w:tcPr>
          <w:p w14:paraId="53DF746E" w14:textId="77777777" w:rsidR="00842BB5" w:rsidRPr="00842BB5" w:rsidRDefault="00842BB5" w:rsidP="009C598E">
            <w:pPr>
              <w:rPr>
                <w:b/>
              </w:rPr>
            </w:pPr>
            <w:r w:rsidRPr="00842BB5">
              <w:rPr>
                <w:b/>
              </w:rPr>
              <w:t>SHOULD</w:t>
            </w:r>
          </w:p>
        </w:tc>
        <w:tc>
          <w:tcPr>
            <w:tcW w:w="4051" w:type="dxa"/>
          </w:tcPr>
          <w:p w14:paraId="3E82742E" w14:textId="77777777" w:rsidR="00842BB5" w:rsidRPr="00842BB5" w:rsidRDefault="00842BB5" w:rsidP="00842BB5">
            <w:r w:rsidRPr="00842BB5">
              <w:t>If the a</w:t>
            </w:r>
            <w:r>
              <w:t xml:space="preserve">bove rule is not followed, the implementation is still </w:t>
            </w:r>
            <w:r w:rsidR="001B4228">
              <w:t xml:space="preserve">considered </w:t>
            </w:r>
            <w:r>
              <w:t>conformant</w:t>
            </w:r>
            <w:r w:rsidR="001B4228">
              <w:t>,</w:t>
            </w:r>
            <w:r>
              <w:t xml:space="preserve"> but is not considered to be following best practice.</w:t>
            </w:r>
            <w:r w:rsidR="001B4228">
              <w:t xml:space="preserve">  Best practice is to use the above rule.</w:t>
            </w:r>
          </w:p>
        </w:tc>
        <w:tc>
          <w:tcPr>
            <w:tcW w:w="4081" w:type="dxa"/>
          </w:tcPr>
          <w:p w14:paraId="2DAFE8D8" w14:textId="77777777" w:rsidR="00842BB5" w:rsidRPr="00842BB5" w:rsidRDefault="00842BB5" w:rsidP="009C598E">
            <w:r w:rsidRPr="00842BB5">
              <w:t>If the a</w:t>
            </w:r>
            <w:r>
              <w:t xml:space="preserve">bove rule is not followed, the implementation is still </w:t>
            </w:r>
            <w:r w:rsidR="001B4228">
              <w:t xml:space="preserve">considered </w:t>
            </w:r>
            <w:r>
              <w:t>conformant</w:t>
            </w:r>
            <w:r w:rsidR="001B4228">
              <w:t>,</w:t>
            </w:r>
            <w:r>
              <w:t xml:space="preserve"> but is not considered to be following best practice.</w:t>
            </w:r>
            <w:r w:rsidR="001B4228">
              <w:t xml:space="preserve"> </w:t>
            </w:r>
            <w:r w:rsidR="001B4228">
              <w:t>Best practice is to use the above rule.</w:t>
            </w:r>
          </w:p>
        </w:tc>
      </w:tr>
      <w:tr w:rsidR="00842BB5" w:rsidRPr="00842BB5" w14:paraId="5DF431AE" w14:textId="77777777" w:rsidTr="00842BB5">
        <w:tc>
          <w:tcPr>
            <w:tcW w:w="1444" w:type="dxa"/>
          </w:tcPr>
          <w:p w14:paraId="067D4567" w14:textId="77777777" w:rsidR="00842BB5" w:rsidRPr="00842BB5" w:rsidRDefault="00842BB5" w:rsidP="009C598E">
            <w:pPr>
              <w:rPr>
                <w:b/>
              </w:rPr>
            </w:pPr>
            <w:r w:rsidRPr="00842BB5">
              <w:rPr>
                <w:b/>
              </w:rPr>
              <w:t>MAY</w:t>
            </w:r>
          </w:p>
        </w:tc>
        <w:tc>
          <w:tcPr>
            <w:tcW w:w="4051" w:type="dxa"/>
          </w:tcPr>
          <w:p w14:paraId="0EDC2164" w14:textId="77777777" w:rsidR="00842BB5" w:rsidRPr="00842BB5" w:rsidRDefault="00842BB5" w:rsidP="001B4228">
            <w:r>
              <w:t xml:space="preserve">There is no expectation </w:t>
            </w:r>
            <w:r w:rsidR="001B4228">
              <w:t xml:space="preserve">that </w:t>
            </w:r>
            <w:r>
              <w:t xml:space="preserve">the </w:t>
            </w:r>
            <w:r w:rsidR="001B4228">
              <w:t>implementation</w:t>
            </w:r>
            <w:r>
              <w:t xml:space="preserve"> will follow the </w:t>
            </w:r>
            <w:r w:rsidR="001B4228">
              <w:t>first</w:t>
            </w:r>
            <w:r>
              <w:t xml:space="preserve"> rule at all</w:t>
            </w:r>
            <w:r w:rsidR="001B4228">
              <w:t>, and failure to do so has no implication on conformance or best practice</w:t>
            </w:r>
            <w:r>
              <w:t xml:space="preserve">.  </w:t>
            </w:r>
            <w:r w:rsidR="001B4228">
              <w:t>The specified value set is</w:t>
            </w:r>
            <w:r>
              <w:t xml:space="preserve"> merely a viable option to choose from.</w:t>
            </w:r>
          </w:p>
        </w:tc>
        <w:tc>
          <w:tcPr>
            <w:tcW w:w="4081" w:type="dxa"/>
          </w:tcPr>
          <w:p w14:paraId="2DF9A9CF" w14:textId="77777777" w:rsidR="00842BB5" w:rsidRPr="00842BB5" w:rsidRDefault="001B4228" w:rsidP="009C598E">
            <w:r>
              <w:t xml:space="preserve">There is no expectation that the implementation will follow the first rule at all, and failure to do so has no implication on </w:t>
            </w:r>
            <w:r>
              <w:t xml:space="preserve">conformance or </w:t>
            </w:r>
            <w:r>
              <w:t>best practice.  The specified value set is merely a viable option to choose from.</w:t>
            </w:r>
          </w:p>
        </w:tc>
      </w:tr>
    </w:tbl>
    <w:p w14:paraId="7C22C4FC" w14:textId="77777777" w:rsidR="00842BB5" w:rsidRDefault="00842BB5" w:rsidP="00842BB5"/>
    <w:p w14:paraId="5CEC0383" w14:textId="77777777" w:rsidR="00FF7FB8" w:rsidRDefault="00FF7FB8" w:rsidP="00842BB5"/>
    <w:p w14:paraId="654F9E1E" w14:textId="77777777" w:rsidR="00DD432D" w:rsidRDefault="00DD432D" w:rsidP="00DD432D">
      <w:pPr>
        <w:spacing w:after="0"/>
      </w:pPr>
      <w:r>
        <w:t>Note that we have TWO concepts:</w:t>
      </w:r>
    </w:p>
    <w:p w14:paraId="3A71C375" w14:textId="77777777" w:rsidR="00DD432D" w:rsidRDefault="00DD432D" w:rsidP="00DD432D">
      <w:pPr>
        <w:spacing w:after="0"/>
      </w:pPr>
      <w:r>
        <w:t>Coding Strength (possible values CNE and CWE)</w:t>
      </w:r>
    </w:p>
    <w:p w14:paraId="3964422F" w14:textId="77777777" w:rsidR="00DD432D" w:rsidRDefault="00DD432D" w:rsidP="00DD432D">
      <w:pPr>
        <w:spacing w:after="0"/>
      </w:pPr>
      <w:r>
        <w:t>Conformance Expectation (possible values MAY, SHOULD, SHALL)</w:t>
      </w:r>
    </w:p>
    <w:p w14:paraId="564BE761" w14:textId="77777777" w:rsidR="00DD432D" w:rsidRDefault="00DD432D" w:rsidP="00DD432D">
      <w:pPr>
        <w:spacing w:after="0"/>
      </w:pPr>
    </w:p>
    <w:p w14:paraId="38F85A11" w14:textId="77777777" w:rsidR="001B4228" w:rsidRDefault="001B4228" w:rsidP="00DD432D">
      <w:pPr>
        <w:spacing w:after="0"/>
      </w:pPr>
      <w:r>
        <w:t>A proposal to add Conformance Expectation to the next release of binding tags in the MIF has been made.</w:t>
      </w:r>
      <w:bookmarkStart w:id="0" w:name="_GoBack"/>
      <w:bookmarkEnd w:id="0"/>
    </w:p>
    <w:sectPr w:rsidR="001B42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EC"/>
    <w:rsid w:val="001B4228"/>
    <w:rsid w:val="00842BB5"/>
    <w:rsid w:val="009C598E"/>
    <w:rsid w:val="00A077BC"/>
    <w:rsid w:val="00BB7A81"/>
    <w:rsid w:val="00DD432D"/>
    <w:rsid w:val="00E26CEC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5CC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245</Words>
  <Characters>1400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McKenzie</dc:creator>
  <cp:lastModifiedBy>Ted Klein</cp:lastModifiedBy>
  <cp:revision>2</cp:revision>
  <dcterms:created xsi:type="dcterms:W3CDTF">2013-02-05T14:00:00Z</dcterms:created>
  <dcterms:modified xsi:type="dcterms:W3CDTF">2013-02-08T00:40:00Z</dcterms:modified>
</cp:coreProperties>
</file>