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35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8A15C9" w:rsidP="00CB7B3E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November </w:t>
            </w:r>
            <w:r w:rsidR="00FA603F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</w:t>
            </w:r>
            <w:r w:rsidR="00CB7B3E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7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9" w:rsidRPr="00566A9D" w:rsidRDefault="00C64EA1" w:rsidP="00FA603F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6304D9">
              <w:rPr>
                <w:rFonts w:cstheme="minorHAnsi"/>
                <w:b/>
                <w:bCs/>
              </w:rPr>
              <w:t xml:space="preserve"> </w:t>
            </w:r>
            <w:r w:rsidR="00D220D1">
              <w:rPr>
                <w:rFonts w:cstheme="minorHAnsi"/>
                <w:b/>
                <w:bCs/>
              </w:rPr>
              <w:t xml:space="preserve">Kim Reich, Beth Moodhard, Gary Dickinson, </w:t>
            </w:r>
            <w:r w:rsidR="00696F6D">
              <w:rPr>
                <w:rFonts w:cstheme="minorHAnsi"/>
                <w:b/>
                <w:bCs/>
              </w:rPr>
              <w:t>Reed</w:t>
            </w:r>
            <w:r w:rsidR="00D220D1">
              <w:rPr>
                <w:rFonts w:cstheme="minorHAnsi"/>
                <w:b/>
                <w:bCs/>
              </w:rPr>
              <w:t xml:space="preserve"> Gelzer 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696F6D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696F6D">
              <w:rPr>
                <w:rFonts w:cstheme="minorHAnsi"/>
                <w:b/>
                <w:bCs/>
              </w:rPr>
              <w:t>Reed Gelzer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B80954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80954">
        <w:trPr>
          <w:trHeight w:val="73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B80954">
        <w:trPr>
          <w:trHeight w:val="323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6F473E" w:rsidP="008A15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Continue r</w:t>
            </w:r>
            <w:r w:rsidR="008A15C9">
              <w:rPr>
                <w:rFonts w:cstheme="minorHAnsi"/>
              </w:rPr>
              <w:t xml:space="preserve">eview </w:t>
            </w:r>
            <w:r w:rsidR="0030126F">
              <w:rPr>
                <w:rFonts w:cstheme="minorHAnsi"/>
              </w:rPr>
              <w:t xml:space="preserve">FHIR </w:t>
            </w:r>
            <w:r w:rsidR="008A15C9">
              <w:rPr>
                <w:rFonts w:cstheme="minorHAnsi"/>
              </w:rPr>
              <w:t>Code</w:t>
            </w:r>
            <w:r w:rsidR="00C50B5C">
              <w:rPr>
                <w:rFonts w:cstheme="minorHAnsi"/>
              </w:rPr>
              <w:t>-</w:t>
            </w:r>
            <w:r w:rsidR="008A15C9">
              <w:rPr>
                <w:rFonts w:cstheme="minorHAnsi"/>
              </w:rPr>
              <w:t>able concepts</w:t>
            </w:r>
          </w:p>
          <w:p w:rsidR="006F473E" w:rsidRDefault="006F473E" w:rsidP="008A15C9">
            <w:pPr>
              <w:spacing w:after="0"/>
              <w:rPr>
                <w:rFonts w:cstheme="minorHAnsi"/>
              </w:rPr>
            </w:pPr>
          </w:p>
          <w:p w:rsidR="00FA603F" w:rsidRDefault="00FA603F" w:rsidP="00CB7B3E">
            <w:pPr>
              <w:spacing w:after="0"/>
            </w:pPr>
          </w:p>
          <w:p w:rsidR="00D17BDA" w:rsidRDefault="00D17BDA" w:rsidP="00CB7B3E">
            <w:pPr>
              <w:spacing w:after="0"/>
            </w:pPr>
          </w:p>
          <w:p w:rsidR="00D17BDA" w:rsidRDefault="00D17BDA" w:rsidP="00CB7B3E">
            <w:pPr>
              <w:spacing w:after="0"/>
            </w:pPr>
            <w:r>
              <w:t>Interoperability Wiki Link</w:t>
            </w:r>
          </w:p>
          <w:p w:rsidR="00D17BDA" w:rsidRDefault="006C4C4F" w:rsidP="00CB7B3E">
            <w:pPr>
              <w:spacing w:after="0"/>
            </w:pPr>
            <w:hyperlink r:id="rId12" w:history="1">
              <w:r w:rsidR="00D17BDA" w:rsidRPr="00B43431">
                <w:rPr>
                  <w:rStyle w:val="Hyperlink"/>
                  <w:rFonts w:asciiTheme="minorHAnsi" w:hAnsiTheme="minorHAnsi" w:cstheme="minorBidi"/>
                </w:rPr>
                <w:t>http://wiki.hl7.org/index.php?title=EHR_Interoperability_WG</w:t>
              </w:r>
            </w:hyperlink>
          </w:p>
          <w:p w:rsidR="00D17BDA" w:rsidRDefault="00D17BDA" w:rsidP="00CB7B3E">
            <w:pPr>
              <w:spacing w:after="0"/>
            </w:pPr>
          </w:p>
          <w:p w:rsidR="00C957E9" w:rsidRDefault="00C957E9" w:rsidP="00CB7B3E">
            <w:pPr>
              <w:spacing w:after="0"/>
            </w:pPr>
            <w:r>
              <w:t>The object below is the most recent Lifecycle FHIR Value Set and, at the very end, includes the Purpose of Use Resource information, as of 11.10.2014</w: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1</w:t>
            </w:r>
            <w:r>
              <w:t xml:space="preserve">. </w:t>
            </w:r>
            <w:r w:rsidR="000C7321">
              <w:t xml:space="preserve"> 5</w:t>
            </w:r>
            <w:r w:rsidR="000C7321" w:rsidRPr="000C732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</w:p>
          <w:p w:rsidR="000C7321" w:rsidRDefault="000C7321" w:rsidP="00CB7B3E">
            <w:pPr>
              <w:spacing w:after="0"/>
            </w:pPr>
          </w:p>
          <w:bookmarkStart w:id="0" w:name="_MON_1477928326"/>
          <w:bookmarkEnd w:id="0"/>
          <w:p w:rsidR="00DF5671" w:rsidRDefault="0001361E" w:rsidP="00CB7B3E">
            <w:pPr>
              <w:spacing w:after="0"/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Word.Document.12" ShapeID="_x0000_i1025" DrawAspect="Icon" ObjectID="_1478014336" r:id="rId14">
                  <o:FieldCodes>\s</o:FieldCodes>
                </o:OLEObject>
              </w:objec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2</w:t>
            </w:r>
            <w:r>
              <w:t>.</w:t>
            </w:r>
            <w:r w:rsidR="00DF5671">
              <w:t xml:space="preserve">  6</w:t>
            </w:r>
            <w:r w:rsidR="00DF5671" w:rsidRPr="00DF567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  <w:r w:rsidR="0001361E">
              <w:t xml:space="preserve"> (Includes, at end, Purpose of Use Resource info</w:t>
            </w:r>
            <w:r w:rsidR="009A3E55">
              <w:t xml:space="preserve"> developed for </w:t>
            </w:r>
            <w:r w:rsidR="009A3E55">
              <w:lastRenderedPageBreak/>
              <w:t>Privacy and Security Classification Use originally</w:t>
            </w:r>
            <w:r w:rsidR="0001361E">
              <w:t>)</w:t>
            </w:r>
          </w:p>
          <w:p w:rsidR="00D17BDA" w:rsidRDefault="00D17BDA" w:rsidP="00CB7B3E">
            <w:pPr>
              <w:spacing w:after="0"/>
            </w:pPr>
          </w:p>
          <w:bookmarkStart w:id="1" w:name="_MON_1477826568"/>
          <w:bookmarkEnd w:id="1"/>
          <w:p w:rsidR="00D17BDA" w:rsidRDefault="00C957E9" w:rsidP="00CB7B3E">
            <w:pPr>
              <w:spacing w:after="0"/>
            </w:pPr>
            <w:r>
              <w:object w:dxaOrig="1539" w:dyaOrig="995">
                <v:shape id="_x0000_i1026" type="#_x0000_t75" style="width:77.25pt;height:49.5pt" o:ole="">
                  <v:imagedata r:id="rId15" o:title=""/>
                </v:shape>
                <o:OLEObject Type="Embed" ProgID="Word.Document.12" ShapeID="_x0000_i1026" DrawAspect="Icon" ObjectID="_1478014337" r:id="rId16">
                  <o:FieldCodes>\s</o:FieldCodes>
                </o:OLEObject>
              </w:object>
            </w:r>
          </w:p>
          <w:p w:rsidR="00D17BDA" w:rsidRPr="00FA603F" w:rsidRDefault="00D17BDA" w:rsidP="00CB7B3E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 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0B5C" w:rsidRDefault="00B80954" w:rsidP="00CB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reviewed the current state of the task of evaluating the Purpose of Use</w:t>
            </w:r>
          </w:p>
          <w:p w:rsidR="00B80954" w:rsidRDefault="00B80954" w:rsidP="00CB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Pointing us again to two documents on the Interop Wiki (l</w:t>
            </w:r>
            <w:r w:rsidR="00E41E51">
              <w:rPr>
                <w:rFonts w:ascii="Arial" w:hAnsi="Arial" w:cs="Arial"/>
              </w:rPr>
              <w:t xml:space="preserve">ink updated, posted on the left-most cell </w:t>
            </w:r>
            <w:r>
              <w:rPr>
                <w:rFonts w:ascii="Arial" w:hAnsi="Arial" w:cs="Arial"/>
              </w:rPr>
              <w:t>in this row</w:t>
            </w:r>
            <w:r w:rsidR="00E41E51">
              <w:rPr>
                <w:rFonts w:ascii="Arial" w:hAnsi="Arial" w:cs="Arial"/>
              </w:rPr>
              <w:t>.</w:t>
            </w:r>
            <w:r w:rsidR="00943241">
              <w:rPr>
                <w:rFonts w:ascii="Arial" w:hAnsi="Arial" w:cs="Arial"/>
              </w:rPr>
              <w:t xml:space="preserve"> Note that the second document is actually the </w:t>
            </w:r>
            <w:r w:rsidR="00D30BEA">
              <w:rPr>
                <w:rFonts w:ascii="Arial" w:hAnsi="Arial" w:cs="Arial"/>
              </w:rPr>
              <w:t xml:space="preserve">same as the </w:t>
            </w:r>
            <w:r w:rsidR="00943241">
              <w:rPr>
                <w:rFonts w:ascii="Arial" w:hAnsi="Arial" w:cs="Arial"/>
              </w:rPr>
              <w:t>first one</w:t>
            </w:r>
            <w:r w:rsidR="00D30BEA">
              <w:rPr>
                <w:rFonts w:ascii="Arial" w:hAnsi="Arial" w:cs="Arial"/>
              </w:rPr>
              <w:t xml:space="preserve"> with additional notes and with the Purpose of Use resource list at the end.</w:t>
            </w:r>
            <w:r w:rsidR="00E41E51">
              <w:rPr>
                <w:rFonts w:ascii="Arial" w:hAnsi="Arial" w:cs="Arial"/>
              </w:rPr>
              <w:t>)</w:t>
            </w:r>
          </w:p>
          <w:p w:rsidR="00B80954" w:rsidRDefault="00E41E51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notes that the FHIR Resources were developed with reference to EHR FM (much by Grahame Grieve) so much alignment already exists.</w:t>
            </w:r>
            <w:r w:rsidR="00DB4704">
              <w:rPr>
                <w:rFonts w:ascii="Arial" w:hAnsi="Arial" w:cs="Arial"/>
              </w:rPr>
              <w:t xml:space="preserve">  Especially helpful is the inclusion of concepts supporting Record Entries/Records “at rest” as persistent data aggregate objects and “in motion” as in exchange.</w:t>
            </w:r>
          </w:p>
          <w:p w:rsidR="0068792E" w:rsidRDefault="0068792E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Also, since much of this was developed attending to </w:t>
            </w:r>
            <w:proofErr w:type="spellStart"/>
            <w:r>
              <w:rPr>
                <w:rFonts w:ascii="Arial" w:hAnsi="Arial" w:cs="Arial"/>
              </w:rPr>
              <w:t>SecurityEvent</w:t>
            </w:r>
            <w:proofErr w:type="spellEnd"/>
            <w:r>
              <w:rPr>
                <w:rFonts w:ascii="Arial" w:hAnsi="Arial" w:cs="Arial"/>
              </w:rPr>
              <w:t xml:space="preserve"> types, the “bridging” to Security work and workgroup should be well-established.   Gary notes that John </w:t>
            </w:r>
            <w:proofErr w:type="spellStart"/>
            <w:r>
              <w:rPr>
                <w:rFonts w:ascii="Arial" w:hAnsi="Arial" w:cs="Arial"/>
              </w:rPr>
              <w:t>Moerhke</w:t>
            </w:r>
            <w:proofErr w:type="spellEnd"/>
            <w:r>
              <w:rPr>
                <w:rFonts w:ascii="Arial" w:hAnsi="Arial" w:cs="Arial"/>
              </w:rPr>
              <w:t xml:space="preserve"> has (unofficially) commented positively.</w:t>
            </w:r>
          </w:p>
          <w:p w:rsidR="00FD58F0" w:rsidRDefault="00FD58F0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in Document 2, p. 5 of 12, less than halfway down the document, the comparison of 15 items in Code/Value Description (third column) and Notes or Proposal column list of EHR- FM items.   Note the differences between the two.</w:t>
            </w:r>
          </w:p>
          <w:p w:rsidR="00FD58F0" w:rsidRDefault="00FD58F0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the appearance of Attest in EHR-FM.   Further clarification of how this works with EHR-S FM R2 concepts will be th</w:t>
            </w:r>
            <w:r w:rsidR="004013F4">
              <w:rPr>
                <w:rFonts w:ascii="Arial" w:hAnsi="Arial" w:cs="Arial"/>
              </w:rPr>
              <w:t>e subject of our meeting on Monday November 24th</w:t>
            </w:r>
            <w:r>
              <w:rPr>
                <w:rFonts w:ascii="Arial" w:hAnsi="Arial" w:cs="Arial"/>
              </w:rPr>
              <w:t>.</w:t>
            </w:r>
          </w:p>
          <w:p w:rsidR="00FD58F0" w:rsidRDefault="00FD58F0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notes that “Attest” may be</w:t>
            </w:r>
            <w:r w:rsidR="004013F4">
              <w:rPr>
                <w:rFonts w:ascii="Arial" w:hAnsi="Arial" w:cs="Arial"/>
              </w:rPr>
              <w:t xml:space="preserve"> discussed as a potential</w:t>
            </w:r>
            <w:r>
              <w:rPr>
                <w:rFonts w:ascii="Arial" w:hAnsi="Arial" w:cs="Arial"/>
              </w:rPr>
              <w:t xml:space="preserve"> subcategory of “Verify” as a general term, with Digital Signature a further special form of Attest that is driven by business rules for the enterprise internally and its relationships with </w:t>
            </w:r>
            <w:r>
              <w:rPr>
                <w:rFonts w:ascii="Arial" w:hAnsi="Arial" w:cs="Arial"/>
              </w:rPr>
              <w:lastRenderedPageBreak/>
              <w:t xml:space="preserve">external end-users, such as CMS with its </w:t>
            </w:r>
            <w:proofErr w:type="spellStart"/>
            <w:r>
              <w:rPr>
                <w:rFonts w:ascii="Arial" w:hAnsi="Arial" w:cs="Arial"/>
              </w:rPr>
              <w:t>esMD</w:t>
            </w:r>
            <w:proofErr w:type="spellEnd"/>
            <w:r>
              <w:rPr>
                <w:rFonts w:ascii="Arial" w:hAnsi="Arial" w:cs="Arial"/>
              </w:rPr>
              <w:t xml:space="preserve"> initiative to stand up </w:t>
            </w:r>
            <w:proofErr w:type="spellStart"/>
            <w:r>
              <w:rPr>
                <w:rFonts w:ascii="Arial" w:hAnsi="Arial" w:cs="Arial"/>
              </w:rPr>
              <w:t>DigSig</w:t>
            </w:r>
            <w:proofErr w:type="spellEnd"/>
            <w:r>
              <w:rPr>
                <w:rFonts w:ascii="Arial" w:hAnsi="Arial" w:cs="Arial"/>
              </w:rPr>
              <w:t xml:space="preserve"> for its support of “binding content” as well as non-repudiation, evidencing integrity (or loss thereof).</w:t>
            </w:r>
          </w:p>
          <w:p w:rsidR="00FD58F0" w:rsidRDefault="000C1538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Q: Where is “Attest” in Security and in Provenance Resources?</w:t>
            </w:r>
          </w:p>
          <w:p w:rsidR="004013F4" w:rsidRDefault="004013F4" w:rsidP="00E4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to continue Monday, Nov. 24th</w:t>
            </w:r>
          </w:p>
          <w:p w:rsidR="00FD58F0" w:rsidRPr="00E41E51" w:rsidRDefault="00FD58F0" w:rsidP="00E41E51">
            <w:pPr>
              <w:rPr>
                <w:rFonts w:ascii="Arial" w:hAnsi="Arial" w:cs="Arial"/>
              </w:rPr>
            </w:pPr>
          </w:p>
          <w:p w:rsidR="00B80954" w:rsidRPr="001A0AF3" w:rsidRDefault="00B80954" w:rsidP="00CB7B3E">
            <w:pPr>
              <w:rPr>
                <w:rFonts w:ascii="Arial" w:hAnsi="Arial" w:cs="Arial"/>
              </w:rPr>
            </w:pPr>
          </w:p>
        </w:tc>
      </w:tr>
      <w:tr w:rsidR="00F60E49" w:rsidRPr="00F4153C" w:rsidTr="00B80954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0954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  <w:bookmarkStart w:id="2" w:name="_MON_1475998450"/>
            <w:bookmarkEnd w:id="2"/>
          </w:p>
        </w:tc>
      </w:tr>
      <w:tr w:rsidR="00F60E49" w:rsidRPr="00F4153C" w:rsidTr="00B80954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11/</w:t>
            </w:r>
            <w:r w:rsidR="0048595D">
              <w:rPr>
                <w:rFonts w:cstheme="minorHAnsi"/>
              </w:rPr>
              <w:t>2</w:t>
            </w:r>
            <w:r w:rsidR="00DC0475">
              <w:rPr>
                <w:rFonts w:cstheme="minorHAnsi"/>
              </w:rPr>
              <w:t>4</w:t>
            </w:r>
            <w:r w:rsidR="004D6359">
              <w:rPr>
                <w:rFonts w:cstheme="minorHAnsi"/>
              </w:rPr>
              <w:t>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100D75"/>
    <w:rsid w:val="00106A0E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A0AF3"/>
    <w:rsid w:val="001A0EB2"/>
    <w:rsid w:val="001A1EEC"/>
    <w:rsid w:val="001A4E57"/>
    <w:rsid w:val="001A5097"/>
    <w:rsid w:val="001A587B"/>
    <w:rsid w:val="001A6164"/>
    <w:rsid w:val="001A72B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3F69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A452C"/>
    <w:rsid w:val="00BB3728"/>
    <w:rsid w:val="00BB4082"/>
    <w:rsid w:val="00BC11C3"/>
    <w:rsid w:val="00BC3C36"/>
    <w:rsid w:val="00BD24EE"/>
    <w:rsid w:val="00BE0FA0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6E8C"/>
    <w:rsid w:val="00F07054"/>
    <w:rsid w:val="00F12EBA"/>
    <w:rsid w:val="00F27A02"/>
    <w:rsid w:val="00F31435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ki.hl7.org/index.php?title=EHR_Interoperability_W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Office_Word_Document2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hyperlink" Target="https://ahima.webex.com/ahima/globalcallin.php?serviceType=MC&amp;ED=243543942&amp;tollFree=1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67290F2C-801D-4260-BCD1-A044F56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2014-11-21T00:46:00Z</dcterms:created>
  <dcterms:modified xsi:type="dcterms:W3CDTF">2014-11-21T00:46:00Z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