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66" w:rsidRDefault="00E10DEC" w:rsidP="00E10DEC">
      <w:pPr>
        <w:pStyle w:val="Heading1"/>
      </w:pPr>
      <w:r>
        <w:t xml:space="preserve">Pressure Ulcer </w:t>
      </w:r>
      <w:r w:rsidR="00781E95">
        <w:t xml:space="preserve">Prevention </w:t>
      </w:r>
      <w:r w:rsidR="00417866">
        <w:t>Domain Analysis Model</w:t>
      </w:r>
    </w:p>
    <w:p w:rsidR="00417866" w:rsidRDefault="000825CB" w:rsidP="00417866">
      <w:pPr>
        <w:spacing w:after="120"/>
      </w:pPr>
      <w:r>
        <w:t>HL7 project team meeting, 24</w:t>
      </w:r>
      <w:r w:rsidR="00417866">
        <w:t xml:space="preserve"> January, 2011</w:t>
      </w:r>
    </w:p>
    <w:tbl>
      <w:tblPr>
        <w:tblStyle w:val="TableGrid"/>
        <w:tblW w:w="0" w:type="auto"/>
        <w:tblInd w:w="360" w:type="dxa"/>
        <w:tblLook w:val="04A0"/>
      </w:tblPr>
      <w:tblGrid>
        <w:gridCol w:w="2340"/>
        <w:gridCol w:w="2292"/>
        <w:gridCol w:w="2292"/>
        <w:gridCol w:w="2292"/>
      </w:tblGrid>
      <w:tr w:rsidR="00D37F3C" w:rsidRPr="00E10DEC" w:rsidTr="00E10DEC">
        <w:tc>
          <w:tcPr>
            <w:tcW w:w="2340" w:type="dxa"/>
          </w:tcPr>
          <w:p w:rsidR="00D37F3C" w:rsidRPr="00E10DEC" w:rsidRDefault="00D37F3C" w:rsidP="00204EF1">
            <w:r w:rsidRPr="00E10DEC">
              <w:t xml:space="preserve">Patty </w:t>
            </w:r>
            <w:proofErr w:type="spellStart"/>
            <w:r w:rsidRPr="00E10DEC">
              <w:t>Greim</w:t>
            </w:r>
            <w:proofErr w:type="spellEnd"/>
          </w:p>
        </w:tc>
        <w:tc>
          <w:tcPr>
            <w:tcW w:w="2292" w:type="dxa"/>
          </w:tcPr>
          <w:p w:rsidR="00D37F3C" w:rsidRPr="00E10DEC" w:rsidRDefault="0094666D" w:rsidP="00204EF1">
            <w:r>
              <w:t>Yes</w:t>
            </w:r>
          </w:p>
        </w:tc>
        <w:tc>
          <w:tcPr>
            <w:tcW w:w="2292" w:type="dxa"/>
          </w:tcPr>
          <w:p w:rsidR="00D37F3C" w:rsidRPr="00E10DEC" w:rsidRDefault="00D37F3C" w:rsidP="003E485D">
            <w:r>
              <w:t>Jay Lyle</w:t>
            </w:r>
          </w:p>
        </w:tc>
        <w:tc>
          <w:tcPr>
            <w:tcW w:w="2292" w:type="dxa"/>
          </w:tcPr>
          <w:p w:rsidR="00D37F3C" w:rsidRDefault="0094666D" w:rsidP="003F7E09">
            <w:r>
              <w:t>Yes</w:t>
            </w:r>
          </w:p>
        </w:tc>
      </w:tr>
      <w:tr w:rsidR="00D37F3C" w:rsidRPr="00E10DEC" w:rsidTr="00E10DEC">
        <w:tc>
          <w:tcPr>
            <w:tcW w:w="2340" w:type="dxa"/>
          </w:tcPr>
          <w:p w:rsidR="00D37F3C" w:rsidRPr="00E10DEC" w:rsidRDefault="00D37F3C" w:rsidP="00204EF1">
            <w:proofErr w:type="spellStart"/>
            <w:r w:rsidRPr="00E10DEC">
              <w:t>Ioana</w:t>
            </w:r>
            <w:proofErr w:type="spellEnd"/>
            <w:r w:rsidRPr="00E10DEC">
              <w:t xml:space="preserve"> </w:t>
            </w:r>
            <w:proofErr w:type="spellStart"/>
            <w:r w:rsidRPr="00E10DEC">
              <w:t>Singureanu</w:t>
            </w:r>
            <w:proofErr w:type="spellEnd"/>
          </w:p>
        </w:tc>
        <w:tc>
          <w:tcPr>
            <w:tcW w:w="2292" w:type="dxa"/>
          </w:tcPr>
          <w:p w:rsidR="00D37F3C" w:rsidRPr="00E10DEC" w:rsidRDefault="00D37F3C" w:rsidP="00204EF1"/>
        </w:tc>
        <w:tc>
          <w:tcPr>
            <w:tcW w:w="2292" w:type="dxa"/>
          </w:tcPr>
          <w:p w:rsidR="00D37F3C" w:rsidRPr="00E10DEC" w:rsidRDefault="00D37F3C" w:rsidP="003E485D">
            <w:r w:rsidRPr="00E10DEC">
              <w:t>John Carter</w:t>
            </w:r>
          </w:p>
        </w:tc>
        <w:tc>
          <w:tcPr>
            <w:tcW w:w="2292" w:type="dxa"/>
          </w:tcPr>
          <w:p w:rsidR="00D37F3C" w:rsidRPr="00E10DEC" w:rsidRDefault="0094666D" w:rsidP="00204EF1">
            <w:r>
              <w:t>Yes</w:t>
            </w:r>
          </w:p>
        </w:tc>
      </w:tr>
      <w:tr w:rsidR="00D37F3C" w:rsidRPr="00E10DEC" w:rsidTr="00E10DEC">
        <w:tc>
          <w:tcPr>
            <w:tcW w:w="2340" w:type="dxa"/>
          </w:tcPr>
          <w:p w:rsidR="00D37F3C" w:rsidRPr="00E10DEC" w:rsidRDefault="00D37F3C" w:rsidP="00204EF1">
            <w:r w:rsidRPr="00E10DEC">
              <w:t>Catherine Hoang</w:t>
            </w:r>
          </w:p>
        </w:tc>
        <w:tc>
          <w:tcPr>
            <w:tcW w:w="2292" w:type="dxa"/>
          </w:tcPr>
          <w:p w:rsidR="00D37F3C" w:rsidRPr="00E10DEC" w:rsidRDefault="0094666D" w:rsidP="00204EF1">
            <w:r>
              <w:t>Yes</w:t>
            </w:r>
          </w:p>
        </w:tc>
        <w:tc>
          <w:tcPr>
            <w:tcW w:w="2292" w:type="dxa"/>
          </w:tcPr>
          <w:p w:rsidR="00D37F3C" w:rsidRPr="00E10DEC" w:rsidRDefault="00D37F3C" w:rsidP="003E485D">
            <w:r w:rsidRPr="00E10DEC">
              <w:t>Moon-</w:t>
            </w:r>
            <w:proofErr w:type="spellStart"/>
            <w:r w:rsidRPr="00E10DEC">
              <w:t>Hee</w:t>
            </w:r>
            <w:proofErr w:type="spellEnd"/>
            <w:r w:rsidRPr="00E10DEC">
              <w:t xml:space="preserve"> Lee</w:t>
            </w:r>
          </w:p>
        </w:tc>
        <w:tc>
          <w:tcPr>
            <w:tcW w:w="2292" w:type="dxa"/>
          </w:tcPr>
          <w:p w:rsidR="00D37F3C" w:rsidRPr="00E10DEC" w:rsidRDefault="00D37F3C" w:rsidP="00204EF1"/>
        </w:tc>
      </w:tr>
      <w:tr w:rsidR="00D37F3C" w:rsidRPr="00E10DEC" w:rsidTr="00E10DEC">
        <w:tc>
          <w:tcPr>
            <w:tcW w:w="2340" w:type="dxa"/>
          </w:tcPr>
          <w:p w:rsidR="00D37F3C" w:rsidRPr="00E10DEC" w:rsidRDefault="00D37F3C" w:rsidP="00204EF1">
            <w:r w:rsidRPr="00E10DEC">
              <w:t xml:space="preserve">Mimi </w:t>
            </w:r>
            <w:proofErr w:type="spellStart"/>
            <w:r w:rsidRPr="00E10DEC">
              <w:t>Haberfeld</w:t>
            </w:r>
            <w:proofErr w:type="spellEnd"/>
          </w:p>
        </w:tc>
        <w:tc>
          <w:tcPr>
            <w:tcW w:w="2292" w:type="dxa"/>
          </w:tcPr>
          <w:p w:rsidR="00D37F3C" w:rsidRPr="00E10DEC" w:rsidRDefault="00D37F3C" w:rsidP="00204EF1"/>
        </w:tc>
        <w:tc>
          <w:tcPr>
            <w:tcW w:w="2292" w:type="dxa"/>
          </w:tcPr>
          <w:p w:rsidR="00D37F3C" w:rsidRPr="00E10DEC" w:rsidRDefault="00D37F3C" w:rsidP="003E485D">
            <w:r w:rsidRPr="00E10DEC">
              <w:t xml:space="preserve">Donna </w:t>
            </w:r>
            <w:proofErr w:type="spellStart"/>
            <w:r w:rsidRPr="00E10DEC">
              <w:t>DuLong</w:t>
            </w:r>
            <w:proofErr w:type="spellEnd"/>
          </w:p>
        </w:tc>
        <w:tc>
          <w:tcPr>
            <w:tcW w:w="2292" w:type="dxa"/>
          </w:tcPr>
          <w:p w:rsidR="00D37F3C" w:rsidRPr="00E10DEC" w:rsidRDefault="00D37F3C" w:rsidP="00204EF1"/>
        </w:tc>
      </w:tr>
      <w:tr w:rsidR="00D37F3C" w:rsidRPr="00E10DEC" w:rsidTr="00E10DEC">
        <w:tc>
          <w:tcPr>
            <w:tcW w:w="2340" w:type="dxa"/>
          </w:tcPr>
          <w:p w:rsidR="00D37F3C" w:rsidRPr="00E10DEC" w:rsidRDefault="00D37F3C" w:rsidP="00204EF1">
            <w:r w:rsidRPr="00E10DEC">
              <w:t xml:space="preserve">Charlie </w:t>
            </w:r>
            <w:proofErr w:type="spellStart"/>
            <w:r w:rsidRPr="00E10DEC">
              <w:t>Selhorst</w:t>
            </w:r>
            <w:proofErr w:type="spellEnd"/>
          </w:p>
        </w:tc>
        <w:tc>
          <w:tcPr>
            <w:tcW w:w="2292" w:type="dxa"/>
          </w:tcPr>
          <w:p w:rsidR="00D37F3C" w:rsidRPr="00E10DEC" w:rsidRDefault="00D37F3C" w:rsidP="00204EF1"/>
        </w:tc>
        <w:tc>
          <w:tcPr>
            <w:tcW w:w="2292" w:type="dxa"/>
          </w:tcPr>
          <w:p w:rsidR="00D37F3C" w:rsidRPr="00E10DEC" w:rsidRDefault="00D37F3C" w:rsidP="00E10DEC">
            <w:r>
              <w:t>Sherri Simons</w:t>
            </w:r>
          </w:p>
        </w:tc>
        <w:tc>
          <w:tcPr>
            <w:tcW w:w="2292" w:type="dxa"/>
          </w:tcPr>
          <w:p w:rsidR="00D37F3C" w:rsidRPr="00E10DEC" w:rsidRDefault="00D37F3C" w:rsidP="00204EF1"/>
        </w:tc>
      </w:tr>
      <w:tr w:rsidR="00D37F3C" w:rsidRPr="00E10DEC" w:rsidTr="00E10DEC">
        <w:tc>
          <w:tcPr>
            <w:tcW w:w="2340" w:type="dxa"/>
          </w:tcPr>
          <w:p w:rsidR="00D37F3C" w:rsidRPr="00E10DEC" w:rsidRDefault="00D37F3C" w:rsidP="00E10DEC">
            <w:r>
              <w:t xml:space="preserve">You-Ying Whipple </w:t>
            </w:r>
          </w:p>
        </w:tc>
        <w:tc>
          <w:tcPr>
            <w:tcW w:w="2292" w:type="dxa"/>
          </w:tcPr>
          <w:p w:rsidR="00D37F3C" w:rsidRDefault="00D37F3C" w:rsidP="00204EF1"/>
        </w:tc>
        <w:tc>
          <w:tcPr>
            <w:tcW w:w="2292" w:type="dxa"/>
          </w:tcPr>
          <w:p w:rsidR="00D37F3C" w:rsidRDefault="00D37F3C" w:rsidP="00E10DEC">
            <w:r>
              <w:t>Holly Miller</w:t>
            </w:r>
          </w:p>
        </w:tc>
        <w:tc>
          <w:tcPr>
            <w:tcW w:w="2292" w:type="dxa"/>
          </w:tcPr>
          <w:p w:rsidR="00D37F3C" w:rsidRDefault="0094666D" w:rsidP="00204EF1">
            <w:r>
              <w:t>Yes</w:t>
            </w:r>
          </w:p>
        </w:tc>
      </w:tr>
      <w:tr w:rsidR="00B66E64" w:rsidRPr="00E10DEC" w:rsidTr="00E10DEC">
        <w:tc>
          <w:tcPr>
            <w:tcW w:w="2340" w:type="dxa"/>
          </w:tcPr>
          <w:p w:rsidR="00B66E64" w:rsidRDefault="00B66E64" w:rsidP="00E10DEC">
            <w:r>
              <w:t>Walter Suarez</w:t>
            </w:r>
          </w:p>
        </w:tc>
        <w:tc>
          <w:tcPr>
            <w:tcW w:w="2292" w:type="dxa"/>
          </w:tcPr>
          <w:p w:rsidR="00B66E64" w:rsidRDefault="00B66E64" w:rsidP="00204EF1"/>
        </w:tc>
        <w:tc>
          <w:tcPr>
            <w:tcW w:w="2292" w:type="dxa"/>
          </w:tcPr>
          <w:p w:rsidR="00B66E64" w:rsidRDefault="00B66E64" w:rsidP="00E10DEC">
            <w:r>
              <w:t xml:space="preserve">Susan </w:t>
            </w:r>
            <w:proofErr w:type="spellStart"/>
            <w:r>
              <w:t>Matney</w:t>
            </w:r>
            <w:proofErr w:type="spellEnd"/>
          </w:p>
        </w:tc>
        <w:tc>
          <w:tcPr>
            <w:tcW w:w="2292" w:type="dxa"/>
          </w:tcPr>
          <w:p w:rsidR="00B66E64" w:rsidRDefault="00B66E64" w:rsidP="00204EF1"/>
        </w:tc>
      </w:tr>
    </w:tbl>
    <w:p w:rsidR="003127F7" w:rsidRDefault="00E10DEC" w:rsidP="00E10DEC">
      <w:pPr>
        <w:pStyle w:val="Heading2"/>
      </w:pPr>
      <w:r>
        <w:t>Agenda</w:t>
      </w:r>
    </w:p>
    <w:p w:rsidR="0094666D" w:rsidRDefault="0094666D" w:rsidP="007F6508">
      <w:pPr>
        <w:pStyle w:val="ListParagraph"/>
        <w:numPr>
          <w:ilvl w:val="0"/>
          <w:numId w:val="3"/>
        </w:numPr>
        <w:spacing w:after="120"/>
      </w:pPr>
      <w:r>
        <w:t>Sponsor status</w:t>
      </w:r>
    </w:p>
    <w:p w:rsidR="009A7F90" w:rsidRDefault="009A7F90" w:rsidP="009A7F90">
      <w:pPr>
        <w:pStyle w:val="ListParagraph"/>
        <w:numPr>
          <w:ilvl w:val="0"/>
          <w:numId w:val="3"/>
        </w:numPr>
        <w:spacing w:after="120"/>
      </w:pPr>
      <w:r>
        <w:t>Review effect of related specifications</w:t>
      </w:r>
    </w:p>
    <w:p w:rsidR="00993BF0" w:rsidRDefault="00E10DEC" w:rsidP="007F6508">
      <w:pPr>
        <w:pStyle w:val="ListParagraph"/>
        <w:numPr>
          <w:ilvl w:val="0"/>
          <w:numId w:val="3"/>
        </w:numPr>
        <w:spacing w:after="120"/>
      </w:pPr>
      <w:r>
        <w:t xml:space="preserve">Review </w:t>
      </w:r>
      <w:r w:rsidR="0024530B">
        <w:t>use cases</w:t>
      </w:r>
    </w:p>
    <w:p w:rsidR="00C73CA4" w:rsidRDefault="00E10DEC" w:rsidP="00AA6756">
      <w:pPr>
        <w:pStyle w:val="Heading2"/>
      </w:pPr>
      <w:r>
        <w:t>Minutes</w:t>
      </w:r>
    </w:p>
    <w:p w:rsidR="009A7F90" w:rsidRDefault="009A7F90" w:rsidP="00C73CA4">
      <w:pPr>
        <w:spacing w:after="120"/>
      </w:pPr>
      <w:r>
        <w:t>Sponsor status: PC has called a meeting on 9 February to vote on the scope statement</w:t>
      </w:r>
    </w:p>
    <w:p w:rsidR="00C73CA4" w:rsidRDefault="00C73CA4" w:rsidP="00C73CA4">
      <w:pPr>
        <w:spacing w:after="120"/>
      </w:pPr>
      <w:r>
        <w:t>Identified related specifications</w:t>
      </w:r>
    </w:p>
    <w:p w:rsidR="00C73CA4" w:rsidRDefault="00C73CA4" w:rsidP="00C73CA4">
      <w:pPr>
        <w:pStyle w:val="ListParagraph"/>
        <w:numPr>
          <w:ilvl w:val="1"/>
          <w:numId w:val="5"/>
        </w:numPr>
        <w:spacing w:after="120"/>
      </w:pPr>
      <w:r>
        <w:t xml:space="preserve">IHE </w:t>
      </w:r>
      <w:proofErr w:type="spellStart"/>
      <w:r>
        <w:t>eNursing</w:t>
      </w:r>
      <w:proofErr w:type="spellEnd"/>
      <w:r>
        <w:t xml:space="preserve"> Summary</w:t>
      </w:r>
    </w:p>
    <w:p w:rsidR="00C73CA4" w:rsidRDefault="00C73CA4" w:rsidP="00C73CA4">
      <w:pPr>
        <w:pStyle w:val="ListParagraph"/>
        <w:numPr>
          <w:ilvl w:val="1"/>
          <w:numId w:val="5"/>
        </w:numPr>
        <w:spacing w:after="120"/>
      </w:pPr>
      <w:r>
        <w:t>IHE Care Plan</w:t>
      </w:r>
    </w:p>
    <w:p w:rsidR="00C73CA4" w:rsidRDefault="00C73CA4" w:rsidP="00C73CA4">
      <w:pPr>
        <w:pStyle w:val="ListParagraph"/>
        <w:numPr>
          <w:ilvl w:val="1"/>
          <w:numId w:val="5"/>
        </w:numPr>
        <w:spacing w:after="120"/>
      </w:pPr>
      <w:r>
        <w:t>HL7 Care Plan</w:t>
      </w:r>
    </w:p>
    <w:p w:rsidR="00C73CA4" w:rsidRDefault="00C73CA4" w:rsidP="00C73CA4">
      <w:pPr>
        <w:pStyle w:val="ListParagraph"/>
        <w:numPr>
          <w:ilvl w:val="1"/>
          <w:numId w:val="5"/>
        </w:numPr>
        <w:spacing w:after="120"/>
      </w:pPr>
      <w:r>
        <w:t>HL7 Continuity of Care Document</w:t>
      </w:r>
    </w:p>
    <w:p w:rsidR="00C73CA4" w:rsidRDefault="00C73CA4" w:rsidP="00417866">
      <w:pPr>
        <w:pStyle w:val="ListParagraph"/>
        <w:numPr>
          <w:ilvl w:val="1"/>
          <w:numId w:val="5"/>
        </w:numPr>
        <w:spacing w:after="120"/>
      </w:pPr>
      <w:r>
        <w:t>IHE Functional status assessment</w:t>
      </w:r>
    </w:p>
    <w:p w:rsidR="00907762" w:rsidRDefault="00193163" w:rsidP="00417866">
      <w:pPr>
        <w:spacing w:after="120"/>
      </w:pPr>
      <w:r>
        <w:t xml:space="preserve">Re: CDA specification: Patty spoke with Gay </w:t>
      </w:r>
      <w:proofErr w:type="spellStart"/>
      <w:r>
        <w:t>Gianonne</w:t>
      </w:r>
      <w:proofErr w:type="spellEnd"/>
      <w:r>
        <w:t>, who did not know of work currently under way, was sure people would be interested, but would need funding to take it on herself</w:t>
      </w:r>
    </w:p>
    <w:p w:rsidR="00BD1F04" w:rsidRDefault="00193163" w:rsidP="00417866">
      <w:pPr>
        <w:spacing w:after="120"/>
      </w:pPr>
      <w:r>
        <w:t>Patty reports Tim Cromwell is interested in use cases in a form to be shared</w:t>
      </w:r>
    </w:p>
    <w:p w:rsidR="00BD1F04" w:rsidRDefault="00193163" w:rsidP="00417866">
      <w:pPr>
        <w:spacing w:after="120"/>
      </w:pPr>
      <w:r>
        <w:t xml:space="preserve">We confirmed all present on the call had </w:t>
      </w:r>
      <w:r w:rsidR="00BD1F04">
        <w:t>Wiki access</w:t>
      </w:r>
    </w:p>
    <w:p w:rsidR="009A7F90" w:rsidRDefault="009A7F90" w:rsidP="00417866">
      <w:pPr>
        <w:spacing w:after="120"/>
      </w:pPr>
      <w:r>
        <w:t>Use case review</w:t>
      </w:r>
    </w:p>
    <w:p w:rsidR="00193163" w:rsidRDefault="00193163" w:rsidP="00417866">
      <w:pPr>
        <w:spacing w:after="120"/>
      </w:pPr>
      <w:r>
        <w:t>We reviewed the structure and questions of the Use Cases posted on the wiki, but we determined that sound answers would need to come from a broader group of clinical stakeholders—to identify correct answers, document their rationale, and socialize the work in clinical organizations.</w:t>
      </w:r>
    </w:p>
    <w:p w:rsidR="00193163" w:rsidRDefault="00193163" w:rsidP="00417866">
      <w:pPr>
        <w:spacing w:after="120"/>
      </w:pPr>
      <w:r>
        <w:t>It was felt that a pressure ulcer risk assessment is a coherent activity. It will not be updated; rather, a subsequent pressure ulcer risk assessment may update the patient status.</w:t>
      </w:r>
    </w:p>
    <w:p w:rsidR="00193163" w:rsidRDefault="00193163" w:rsidP="00417866">
      <w:pPr>
        <w:spacing w:after="120"/>
      </w:pPr>
      <w:r>
        <w:t>How the pressure ulcer risk assessment relates to a comprehensive admission assessment (or other assessments) is not clear.</w:t>
      </w:r>
    </w:p>
    <w:p w:rsidR="00280914" w:rsidRDefault="00193163" w:rsidP="00417866">
      <w:pPr>
        <w:spacing w:after="120"/>
      </w:pPr>
      <w:r>
        <w:t xml:space="preserve">There is no standard nomenclature for pressure ulcer risk assessment, skin assessment, </w:t>
      </w:r>
      <w:r w:rsidR="009A7F90">
        <w:t>and comprehensive</w:t>
      </w:r>
      <w:r>
        <w:t xml:space="preserve"> assessment: our work may advance one.</w:t>
      </w:r>
    </w:p>
    <w:p w:rsidR="00193163" w:rsidRDefault="00193163" w:rsidP="00417866">
      <w:pPr>
        <w:spacing w:after="120"/>
      </w:pPr>
      <w:r>
        <w:lastRenderedPageBreak/>
        <w:t>Regarding goals and outcomes, we will minimize our reliance on them, first, because the model does not already have any goal setting content, and second, because linking interventions to observations explicitly may not be clinically defensible in the general case.</w:t>
      </w:r>
    </w:p>
    <w:p w:rsidR="00193163" w:rsidRDefault="00193163" w:rsidP="00417866">
      <w:pPr>
        <w:spacing w:after="120"/>
      </w:pPr>
      <w:r>
        <w:t xml:space="preserve">There is a need to </w:t>
      </w:r>
      <w:r w:rsidR="00C73CA4">
        <w:t>assess trend information. This model only represents the observations; while their inclusion in longitudinal or other reporting or analysis tools should not present any special problems, it is not in scope.</w:t>
      </w:r>
    </w:p>
    <w:p w:rsidR="006741F2" w:rsidRDefault="00C73CA4" w:rsidP="00417866">
      <w:pPr>
        <w:spacing w:after="120"/>
      </w:pPr>
      <w:r w:rsidRPr="00C73CA4">
        <w:rPr>
          <w:i/>
        </w:rPr>
        <w:t>Discharge Patient</w:t>
      </w:r>
      <w:r>
        <w:t xml:space="preserve"> may be at once too general and too specific; we will change it to </w:t>
      </w:r>
      <w:r w:rsidRPr="00C73CA4">
        <w:rPr>
          <w:i/>
        </w:rPr>
        <w:t>P</w:t>
      </w:r>
      <w:r w:rsidR="00732B12" w:rsidRPr="00C73CA4">
        <w:rPr>
          <w:i/>
        </w:rPr>
        <w:t xml:space="preserve">roduce </w:t>
      </w:r>
      <w:r w:rsidRPr="00C73CA4">
        <w:rPr>
          <w:i/>
        </w:rPr>
        <w:t>S</w:t>
      </w:r>
      <w:r w:rsidR="00732B12" w:rsidRPr="00C73CA4">
        <w:rPr>
          <w:i/>
        </w:rPr>
        <w:t xml:space="preserve">ummary </w:t>
      </w:r>
      <w:r w:rsidRPr="00C73CA4">
        <w:rPr>
          <w:i/>
        </w:rPr>
        <w:t>D</w:t>
      </w:r>
      <w:r w:rsidR="00732B12" w:rsidRPr="00C73CA4">
        <w:rPr>
          <w:i/>
        </w:rPr>
        <w:t>ocumentation</w:t>
      </w:r>
      <w:r w:rsidR="00732B12">
        <w:t xml:space="preserve"> (e.g. e-Nursing summary)</w:t>
      </w:r>
    </w:p>
    <w:p w:rsidR="003127F7" w:rsidRDefault="003127F7" w:rsidP="00E10DEC">
      <w:pPr>
        <w:pStyle w:val="Heading2"/>
      </w:pPr>
      <w:r>
        <w:t>Action items</w:t>
      </w:r>
    </w:p>
    <w:tbl>
      <w:tblPr>
        <w:tblStyle w:val="TableGrid"/>
        <w:tblW w:w="0" w:type="auto"/>
        <w:tblLook w:val="04A0"/>
      </w:tblPr>
      <w:tblGrid>
        <w:gridCol w:w="378"/>
        <w:gridCol w:w="3918"/>
        <w:gridCol w:w="1012"/>
        <w:gridCol w:w="889"/>
        <w:gridCol w:w="964"/>
        <w:gridCol w:w="2415"/>
      </w:tblGrid>
      <w:tr w:rsidR="00D44A74" w:rsidRPr="00E10DEC" w:rsidTr="00D44A74">
        <w:tc>
          <w:tcPr>
            <w:tcW w:w="378" w:type="dxa"/>
          </w:tcPr>
          <w:p w:rsidR="00D44A74" w:rsidRPr="00D44A74" w:rsidRDefault="00D44A74" w:rsidP="00847317">
            <w:pPr>
              <w:spacing w:after="120"/>
              <w:rPr>
                <w:b/>
              </w:rPr>
            </w:pPr>
          </w:p>
        </w:tc>
        <w:tc>
          <w:tcPr>
            <w:tcW w:w="3918" w:type="dxa"/>
          </w:tcPr>
          <w:p w:rsidR="00D44A74" w:rsidRPr="00D44A74" w:rsidRDefault="00D44A74" w:rsidP="00847317">
            <w:pPr>
              <w:spacing w:after="120"/>
              <w:rPr>
                <w:b/>
              </w:rPr>
            </w:pPr>
            <w:r w:rsidRPr="00D44A74">
              <w:rPr>
                <w:b/>
              </w:rPr>
              <w:t>Item</w:t>
            </w:r>
          </w:p>
        </w:tc>
        <w:tc>
          <w:tcPr>
            <w:tcW w:w="1012" w:type="dxa"/>
          </w:tcPr>
          <w:p w:rsidR="00D44A74" w:rsidRPr="00D44A74" w:rsidRDefault="00D44A74" w:rsidP="00847317">
            <w:pPr>
              <w:spacing w:after="120"/>
              <w:rPr>
                <w:b/>
              </w:rPr>
            </w:pPr>
            <w:r w:rsidRPr="00D44A74">
              <w:rPr>
                <w:b/>
              </w:rPr>
              <w:t>Who</w:t>
            </w:r>
          </w:p>
        </w:tc>
        <w:tc>
          <w:tcPr>
            <w:tcW w:w="889" w:type="dxa"/>
          </w:tcPr>
          <w:p w:rsidR="00D44A74" w:rsidRPr="00D44A74" w:rsidRDefault="00D44A74" w:rsidP="00847317">
            <w:pPr>
              <w:spacing w:after="120"/>
              <w:rPr>
                <w:b/>
              </w:rPr>
            </w:pPr>
            <w:r w:rsidRPr="00D44A74">
              <w:rPr>
                <w:b/>
              </w:rPr>
              <w:t>Due</w:t>
            </w:r>
          </w:p>
        </w:tc>
        <w:tc>
          <w:tcPr>
            <w:tcW w:w="964" w:type="dxa"/>
          </w:tcPr>
          <w:p w:rsidR="00D44A74" w:rsidRPr="00D44A74" w:rsidRDefault="00D44A74" w:rsidP="00847317">
            <w:pPr>
              <w:spacing w:after="120"/>
              <w:rPr>
                <w:b/>
              </w:rPr>
            </w:pPr>
            <w:r w:rsidRPr="00D44A74">
              <w:rPr>
                <w:b/>
              </w:rPr>
              <w:t>Status</w:t>
            </w:r>
          </w:p>
        </w:tc>
        <w:tc>
          <w:tcPr>
            <w:tcW w:w="2415" w:type="dxa"/>
          </w:tcPr>
          <w:p w:rsidR="00D44A74" w:rsidRPr="00D44A74" w:rsidRDefault="00D44A74" w:rsidP="00847317">
            <w:pPr>
              <w:spacing w:after="120"/>
              <w:rPr>
                <w:b/>
              </w:rPr>
            </w:pPr>
            <w:r w:rsidRPr="00D44A74">
              <w:rPr>
                <w:b/>
              </w:rPr>
              <w:t xml:space="preserve">Notes </w:t>
            </w:r>
          </w:p>
        </w:tc>
      </w:tr>
      <w:tr w:rsidR="0024530B" w:rsidRPr="00E10DEC" w:rsidTr="000825CB">
        <w:tc>
          <w:tcPr>
            <w:tcW w:w="378" w:type="dxa"/>
            <w:tcBorders>
              <w:bottom w:val="single" w:sz="4" w:space="0" w:color="auto"/>
            </w:tcBorders>
          </w:tcPr>
          <w:p w:rsidR="0024530B" w:rsidRDefault="0024530B" w:rsidP="00525088">
            <w:pPr>
              <w:spacing w:after="120"/>
            </w:pPr>
            <w:r>
              <w:t>3</w:t>
            </w:r>
          </w:p>
        </w:tc>
        <w:tc>
          <w:tcPr>
            <w:tcW w:w="3918" w:type="dxa"/>
            <w:tcBorders>
              <w:bottom w:val="single" w:sz="4" w:space="0" w:color="auto"/>
            </w:tcBorders>
          </w:tcPr>
          <w:p w:rsidR="0024530B" w:rsidRPr="00E10DEC" w:rsidRDefault="0024530B" w:rsidP="00525088">
            <w:pPr>
              <w:spacing w:after="120"/>
            </w:pPr>
            <w:r>
              <w:t>confirm workgroup sponsorship from Patient Care or Clinical Interoperability Council or both</w:t>
            </w:r>
          </w:p>
        </w:tc>
        <w:tc>
          <w:tcPr>
            <w:tcW w:w="1012" w:type="dxa"/>
            <w:tcBorders>
              <w:bottom w:val="single" w:sz="4" w:space="0" w:color="auto"/>
            </w:tcBorders>
          </w:tcPr>
          <w:p w:rsidR="0024530B" w:rsidRPr="00E10DEC" w:rsidRDefault="0024530B" w:rsidP="00525088">
            <w:pPr>
              <w:spacing w:after="120"/>
            </w:pPr>
            <w:r>
              <w:t>Patty and Holly</w:t>
            </w:r>
          </w:p>
        </w:tc>
        <w:tc>
          <w:tcPr>
            <w:tcW w:w="889" w:type="dxa"/>
            <w:tcBorders>
              <w:bottom w:val="single" w:sz="4" w:space="0" w:color="auto"/>
            </w:tcBorders>
          </w:tcPr>
          <w:p w:rsidR="0024530B" w:rsidRPr="00E10DEC" w:rsidRDefault="00F72DE8" w:rsidP="00525088">
            <w:pPr>
              <w:spacing w:after="120"/>
            </w:pPr>
            <w:r>
              <w:t>2/9</w:t>
            </w:r>
          </w:p>
        </w:tc>
        <w:tc>
          <w:tcPr>
            <w:tcW w:w="964" w:type="dxa"/>
            <w:tcBorders>
              <w:bottom w:val="single" w:sz="4" w:space="0" w:color="auto"/>
            </w:tcBorders>
          </w:tcPr>
          <w:p w:rsidR="0024530B" w:rsidRPr="00E10DEC" w:rsidRDefault="0024530B" w:rsidP="00525088">
            <w:pPr>
              <w:spacing w:after="120"/>
            </w:pPr>
            <w:r>
              <w:t>IP</w:t>
            </w:r>
          </w:p>
        </w:tc>
        <w:tc>
          <w:tcPr>
            <w:tcW w:w="2415" w:type="dxa"/>
            <w:tcBorders>
              <w:bottom w:val="single" w:sz="4" w:space="0" w:color="auto"/>
            </w:tcBorders>
          </w:tcPr>
          <w:p w:rsidR="0024530B" w:rsidRDefault="0024530B" w:rsidP="00525088">
            <w:pPr>
              <w:spacing w:after="120"/>
            </w:pPr>
            <w:r>
              <w:t>Working on scheduling time with Stephen Chu (1/20)</w:t>
            </w:r>
          </w:p>
          <w:p w:rsidR="0024530B" w:rsidRPr="00E10DEC" w:rsidRDefault="0024530B" w:rsidP="00525088">
            <w:pPr>
              <w:spacing w:after="120"/>
            </w:pPr>
            <w:r>
              <w:t xml:space="preserve">Meeting for 2/9, per Wm </w:t>
            </w:r>
            <w:proofErr w:type="spellStart"/>
            <w:r>
              <w:t>Goossen</w:t>
            </w:r>
            <w:proofErr w:type="spellEnd"/>
            <w:r>
              <w:t xml:space="preserve"> (1/24)</w:t>
            </w:r>
          </w:p>
        </w:tc>
      </w:tr>
      <w:tr w:rsidR="00193163" w:rsidRPr="00E10DEC" w:rsidTr="000825CB">
        <w:tc>
          <w:tcPr>
            <w:tcW w:w="378" w:type="dxa"/>
            <w:tcBorders>
              <w:bottom w:val="single" w:sz="4" w:space="0" w:color="auto"/>
            </w:tcBorders>
          </w:tcPr>
          <w:p w:rsidR="00193163" w:rsidRDefault="00193163" w:rsidP="00525088">
            <w:pPr>
              <w:spacing w:after="120"/>
            </w:pPr>
            <w:r>
              <w:t>4</w:t>
            </w:r>
          </w:p>
        </w:tc>
        <w:tc>
          <w:tcPr>
            <w:tcW w:w="3918" w:type="dxa"/>
            <w:tcBorders>
              <w:bottom w:val="single" w:sz="4" w:space="0" w:color="auto"/>
            </w:tcBorders>
          </w:tcPr>
          <w:p w:rsidR="00193163" w:rsidRDefault="00193163" w:rsidP="00525088">
            <w:pPr>
              <w:spacing w:after="120"/>
            </w:pPr>
            <w:r>
              <w:t xml:space="preserve">Find out from Moon </w:t>
            </w:r>
            <w:proofErr w:type="spellStart"/>
            <w:r>
              <w:t>Hee</w:t>
            </w:r>
            <w:proofErr w:type="spellEnd"/>
            <w:r>
              <w:t xml:space="preserve"> how we can encourage or support more participation</w:t>
            </w:r>
          </w:p>
        </w:tc>
        <w:tc>
          <w:tcPr>
            <w:tcW w:w="1012" w:type="dxa"/>
            <w:tcBorders>
              <w:bottom w:val="single" w:sz="4" w:space="0" w:color="auto"/>
            </w:tcBorders>
          </w:tcPr>
          <w:p w:rsidR="00193163" w:rsidRDefault="00193163" w:rsidP="00525088">
            <w:pPr>
              <w:spacing w:after="120"/>
            </w:pPr>
            <w:r>
              <w:t>Patty</w:t>
            </w:r>
          </w:p>
        </w:tc>
        <w:tc>
          <w:tcPr>
            <w:tcW w:w="889" w:type="dxa"/>
            <w:tcBorders>
              <w:bottom w:val="single" w:sz="4" w:space="0" w:color="auto"/>
            </w:tcBorders>
          </w:tcPr>
          <w:p w:rsidR="00193163" w:rsidRDefault="00193163" w:rsidP="00525088">
            <w:pPr>
              <w:spacing w:after="120"/>
            </w:pPr>
          </w:p>
        </w:tc>
        <w:tc>
          <w:tcPr>
            <w:tcW w:w="964" w:type="dxa"/>
            <w:tcBorders>
              <w:bottom w:val="single" w:sz="4" w:space="0" w:color="auto"/>
            </w:tcBorders>
          </w:tcPr>
          <w:p w:rsidR="00193163" w:rsidRDefault="00193163" w:rsidP="00525088">
            <w:pPr>
              <w:spacing w:after="120"/>
            </w:pPr>
            <w:r>
              <w:t>IP</w:t>
            </w:r>
          </w:p>
        </w:tc>
        <w:tc>
          <w:tcPr>
            <w:tcW w:w="2415" w:type="dxa"/>
            <w:tcBorders>
              <w:bottom w:val="single" w:sz="4" w:space="0" w:color="auto"/>
            </w:tcBorders>
          </w:tcPr>
          <w:p w:rsidR="00193163" w:rsidRDefault="00193163" w:rsidP="00525088">
            <w:pPr>
              <w:spacing w:after="120"/>
            </w:pPr>
          </w:p>
        </w:tc>
      </w:tr>
      <w:tr w:rsidR="00193163" w:rsidRPr="00E10DEC" w:rsidTr="000825CB">
        <w:tc>
          <w:tcPr>
            <w:tcW w:w="378" w:type="dxa"/>
            <w:tcBorders>
              <w:bottom w:val="single" w:sz="4" w:space="0" w:color="auto"/>
            </w:tcBorders>
          </w:tcPr>
          <w:p w:rsidR="00193163" w:rsidRDefault="00193163" w:rsidP="00525088">
            <w:pPr>
              <w:spacing w:after="120"/>
            </w:pPr>
            <w:r>
              <w:t>5</w:t>
            </w:r>
          </w:p>
        </w:tc>
        <w:tc>
          <w:tcPr>
            <w:tcW w:w="3918" w:type="dxa"/>
            <w:tcBorders>
              <w:bottom w:val="single" w:sz="4" w:space="0" w:color="auto"/>
            </w:tcBorders>
          </w:tcPr>
          <w:p w:rsidR="00193163" w:rsidRDefault="00193163" w:rsidP="00193163">
            <w:pPr>
              <w:spacing w:after="120"/>
            </w:pPr>
            <w:r>
              <w:t>Contact Audrey Dickerson to clarify how IHE specifications relate, affect us</w:t>
            </w:r>
          </w:p>
        </w:tc>
        <w:tc>
          <w:tcPr>
            <w:tcW w:w="1012" w:type="dxa"/>
            <w:tcBorders>
              <w:bottom w:val="single" w:sz="4" w:space="0" w:color="auto"/>
            </w:tcBorders>
          </w:tcPr>
          <w:p w:rsidR="00193163" w:rsidRDefault="00193163" w:rsidP="00525088">
            <w:pPr>
              <w:spacing w:after="120"/>
            </w:pPr>
            <w:r>
              <w:t>Holly</w:t>
            </w:r>
          </w:p>
        </w:tc>
        <w:tc>
          <w:tcPr>
            <w:tcW w:w="889" w:type="dxa"/>
            <w:tcBorders>
              <w:bottom w:val="single" w:sz="4" w:space="0" w:color="auto"/>
            </w:tcBorders>
          </w:tcPr>
          <w:p w:rsidR="00193163" w:rsidRDefault="00193163" w:rsidP="00525088">
            <w:pPr>
              <w:spacing w:after="120"/>
            </w:pPr>
          </w:p>
        </w:tc>
        <w:tc>
          <w:tcPr>
            <w:tcW w:w="964" w:type="dxa"/>
            <w:tcBorders>
              <w:bottom w:val="single" w:sz="4" w:space="0" w:color="auto"/>
            </w:tcBorders>
          </w:tcPr>
          <w:p w:rsidR="00193163" w:rsidRDefault="00193163" w:rsidP="00525088">
            <w:pPr>
              <w:spacing w:after="120"/>
            </w:pPr>
            <w:r>
              <w:t>IP</w:t>
            </w:r>
          </w:p>
        </w:tc>
        <w:tc>
          <w:tcPr>
            <w:tcW w:w="2415" w:type="dxa"/>
            <w:tcBorders>
              <w:bottom w:val="single" w:sz="4" w:space="0" w:color="auto"/>
            </w:tcBorders>
          </w:tcPr>
          <w:p w:rsidR="00193163" w:rsidRDefault="00193163" w:rsidP="00525088">
            <w:pPr>
              <w:spacing w:after="120"/>
            </w:pPr>
          </w:p>
        </w:tc>
      </w:tr>
      <w:tr w:rsidR="009A7F90" w:rsidRPr="00E10DEC" w:rsidTr="000825CB">
        <w:tc>
          <w:tcPr>
            <w:tcW w:w="378" w:type="dxa"/>
            <w:tcBorders>
              <w:bottom w:val="single" w:sz="4" w:space="0" w:color="auto"/>
            </w:tcBorders>
          </w:tcPr>
          <w:p w:rsidR="009A7F90" w:rsidRDefault="009A7F90" w:rsidP="00525088">
            <w:pPr>
              <w:spacing w:after="120"/>
            </w:pPr>
            <w:r>
              <w:t xml:space="preserve">6 </w:t>
            </w:r>
          </w:p>
        </w:tc>
        <w:tc>
          <w:tcPr>
            <w:tcW w:w="3918" w:type="dxa"/>
            <w:tcBorders>
              <w:bottom w:val="single" w:sz="4" w:space="0" w:color="auto"/>
            </w:tcBorders>
          </w:tcPr>
          <w:p w:rsidR="009A7F90" w:rsidRDefault="009A7F90" w:rsidP="009A7F90">
            <w:pPr>
              <w:spacing w:after="120"/>
            </w:pPr>
            <w:r>
              <w:t>Contact SMEs to coordinate clinical input into the model</w:t>
            </w:r>
          </w:p>
        </w:tc>
        <w:tc>
          <w:tcPr>
            <w:tcW w:w="1012" w:type="dxa"/>
            <w:tcBorders>
              <w:bottom w:val="single" w:sz="4" w:space="0" w:color="auto"/>
            </w:tcBorders>
          </w:tcPr>
          <w:p w:rsidR="009A7F90" w:rsidRDefault="009A7F90" w:rsidP="00525088">
            <w:pPr>
              <w:spacing w:after="120"/>
            </w:pPr>
            <w:r>
              <w:t>Holly</w:t>
            </w:r>
          </w:p>
        </w:tc>
        <w:tc>
          <w:tcPr>
            <w:tcW w:w="889" w:type="dxa"/>
            <w:tcBorders>
              <w:bottom w:val="single" w:sz="4" w:space="0" w:color="auto"/>
            </w:tcBorders>
          </w:tcPr>
          <w:p w:rsidR="009A7F90" w:rsidRDefault="009A7F90" w:rsidP="00525088">
            <w:pPr>
              <w:spacing w:after="120"/>
            </w:pPr>
          </w:p>
        </w:tc>
        <w:tc>
          <w:tcPr>
            <w:tcW w:w="964" w:type="dxa"/>
            <w:tcBorders>
              <w:bottom w:val="single" w:sz="4" w:space="0" w:color="auto"/>
            </w:tcBorders>
          </w:tcPr>
          <w:p w:rsidR="009A7F90" w:rsidRDefault="009A7F90" w:rsidP="00525088">
            <w:pPr>
              <w:spacing w:after="120"/>
            </w:pPr>
            <w:r>
              <w:t>IP</w:t>
            </w:r>
          </w:p>
        </w:tc>
        <w:tc>
          <w:tcPr>
            <w:tcW w:w="2415" w:type="dxa"/>
            <w:tcBorders>
              <w:bottom w:val="single" w:sz="4" w:space="0" w:color="auto"/>
            </w:tcBorders>
          </w:tcPr>
          <w:p w:rsidR="009A7F90" w:rsidRDefault="009A7F90" w:rsidP="00525088">
            <w:pPr>
              <w:spacing w:after="120"/>
            </w:pPr>
          </w:p>
        </w:tc>
      </w:tr>
      <w:tr w:rsidR="00D44A74" w:rsidRPr="00E10DEC" w:rsidTr="000825CB">
        <w:tc>
          <w:tcPr>
            <w:tcW w:w="378" w:type="dxa"/>
            <w:shd w:val="clear" w:color="auto" w:fill="D9D9D9" w:themeFill="background1" w:themeFillShade="D9"/>
          </w:tcPr>
          <w:p w:rsidR="00D44A74" w:rsidRDefault="00D44A74" w:rsidP="00847317">
            <w:pPr>
              <w:spacing w:after="120"/>
            </w:pPr>
            <w:r>
              <w:t>1</w:t>
            </w:r>
          </w:p>
        </w:tc>
        <w:tc>
          <w:tcPr>
            <w:tcW w:w="3918" w:type="dxa"/>
            <w:shd w:val="clear" w:color="auto" w:fill="D9D9D9" w:themeFill="background1" w:themeFillShade="D9"/>
          </w:tcPr>
          <w:p w:rsidR="00D44A74" w:rsidRPr="00E10DEC" w:rsidRDefault="00D44A74" w:rsidP="00847317">
            <w:pPr>
              <w:spacing w:after="120"/>
            </w:pPr>
            <w:r>
              <w:t>please send feedback on the project scope statement</w:t>
            </w:r>
          </w:p>
        </w:tc>
        <w:tc>
          <w:tcPr>
            <w:tcW w:w="1012" w:type="dxa"/>
            <w:shd w:val="clear" w:color="auto" w:fill="D9D9D9" w:themeFill="background1" w:themeFillShade="D9"/>
          </w:tcPr>
          <w:p w:rsidR="00D44A74" w:rsidRPr="00E10DEC" w:rsidRDefault="00D44A74" w:rsidP="00847317">
            <w:pPr>
              <w:spacing w:after="120"/>
            </w:pPr>
            <w:r>
              <w:t>All</w:t>
            </w:r>
          </w:p>
        </w:tc>
        <w:tc>
          <w:tcPr>
            <w:tcW w:w="889" w:type="dxa"/>
            <w:shd w:val="clear" w:color="auto" w:fill="D9D9D9" w:themeFill="background1" w:themeFillShade="D9"/>
          </w:tcPr>
          <w:p w:rsidR="00D44A74" w:rsidRPr="00E10DEC" w:rsidRDefault="00D44A74" w:rsidP="00847317">
            <w:pPr>
              <w:spacing w:after="120"/>
            </w:pPr>
            <w:r>
              <w:t>1/17</w:t>
            </w:r>
          </w:p>
        </w:tc>
        <w:tc>
          <w:tcPr>
            <w:tcW w:w="964" w:type="dxa"/>
            <w:shd w:val="clear" w:color="auto" w:fill="D9D9D9" w:themeFill="background1" w:themeFillShade="D9"/>
          </w:tcPr>
          <w:p w:rsidR="00D44A74" w:rsidRPr="00E10DEC" w:rsidRDefault="00840FA6" w:rsidP="00847317">
            <w:pPr>
              <w:spacing w:after="120"/>
            </w:pPr>
            <w:r>
              <w:t>Closed</w:t>
            </w:r>
          </w:p>
        </w:tc>
        <w:tc>
          <w:tcPr>
            <w:tcW w:w="2415" w:type="dxa"/>
            <w:shd w:val="clear" w:color="auto" w:fill="D9D9D9" w:themeFill="background1" w:themeFillShade="D9"/>
          </w:tcPr>
          <w:p w:rsidR="00D44A74" w:rsidRPr="00E10DEC" w:rsidRDefault="00840FA6" w:rsidP="00847317">
            <w:pPr>
              <w:spacing w:after="120"/>
            </w:pPr>
            <w:r>
              <w:t>Feedback handled in meeting (1/19)</w:t>
            </w:r>
          </w:p>
        </w:tc>
      </w:tr>
      <w:tr w:rsidR="00D44A74" w:rsidRPr="00E10DEC" w:rsidTr="000825CB">
        <w:tc>
          <w:tcPr>
            <w:tcW w:w="378" w:type="dxa"/>
            <w:shd w:val="clear" w:color="auto" w:fill="D9D9D9" w:themeFill="background1" w:themeFillShade="D9"/>
          </w:tcPr>
          <w:p w:rsidR="00D44A74" w:rsidRDefault="00D44A74" w:rsidP="00847317">
            <w:pPr>
              <w:spacing w:after="120"/>
            </w:pPr>
            <w:r>
              <w:t>2</w:t>
            </w:r>
          </w:p>
        </w:tc>
        <w:tc>
          <w:tcPr>
            <w:tcW w:w="3918" w:type="dxa"/>
            <w:shd w:val="clear" w:color="auto" w:fill="D9D9D9" w:themeFill="background1" w:themeFillShade="D9"/>
          </w:tcPr>
          <w:p w:rsidR="00D44A74" w:rsidRPr="00E10DEC" w:rsidRDefault="00D44A74" w:rsidP="00847317">
            <w:pPr>
              <w:spacing w:after="120"/>
            </w:pPr>
            <w:r>
              <w:t>meet to clarify the model boundaries</w:t>
            </w:r>
          </w:p>
        </w:tc>
        <w:tc>
          <w:tcPr>
            <w:tcW w:w="1012" w:type="dxa"/>
            <w:shd w:val="clear" w:color="auto" w:fill="D9D9D9" w:themeFill="background1" w:themeFillShade="D9"/>
          </w:tcPr>
          <w:p w:rsidR="00D44A74" w:rsidRPr="00E10DEC" w:rsidRDefault="00D44A74" w:rsidP="00847317">
            <w:pPr>
              <w:spacing w:after="120"/>
            </w:pPr>
            <w:r>
              <w:t>Donna and Jay</w:t>
            </w:r>
          </w:p>
        </w:tc>
        <w:tc>
          <w:tcPr>
            <w:tcW w:w="889" w:type="dxa"/>
            <w:shd w:val="clear" w:color="auto" w:fill="D9D9D9" w:themeFill="background1" w:themeFillShade="D9"/>
          </w:tcPr>
          <w:p w:rsidR="00D44A74" w:rsidRPr="00E10DEC" w:rsidRDefault="00D44A74" w:rsidP="00847317">
            <w:pPr>
              <w:spacing w:after="120"/>
            </w:pPr>
            <w:r>
              <w:t>1/11</w:t>
            </w:r>
          </w:p>
        </w:tc>
        <w:tc>
          <w:tcPr>
            <w:tcW w:w="964" w:type="dxa"/>
            <w:shd w:val="clear" w:color="auto" w:fill="D9D9D9" w:themeFill="background1" w:themeFillShade="D9"/>
          </w:tcPr>
          <w:p w:rsidR="00D44A74" w:rsidRPr="00E10DEC" w:rsidRDefault="00D44A74" w:rsidP="00847317">
            <w:pPr>
              <w:spacing w:after="120"/>
            </w:pPr>
            <w:r>
              <w:t>Closed</w:t>
            </w:r>
          </w:p>
        </w:tc>
        <w:tc>
          <w:tcPr>
            <w:tcW w:w="2415" w:type="dxa"/>
            <w:shd w:val="clear" w:color="auto" w:fill="D9D9D9" w:themeFill="background1" w:themeFillShade="D9"/>
          </w:tcPr>
          <w:p w:rsidR="00D44A74" w:rsidRPr="00E10DEC" w:rsidRDefault="00D44A74" w:rsidP="00F72DE8">
            <w:r>
              <w:t xml:space="preserve">We recommend that the conceptual scope be “Pressure Ulcer Risk Assessment,” one of two key focuses of the KP-VA model.  </w:t>
            </w:r>
          </w:p>
        </w:tc>
      </w:tr>
    </w:tbl>
    <w:p w:rsidR="00D44A74" w:rsidRDefault="00D44A74" w:rsidP="00D44A74">
      <w:pPr>
        <w:pStyle w:val="Heading2"/>
      </w:pPr>
      <w:r>
        <w:t>Issues</w:t>
      </w:r>
    </w:p>
    <w:tbl>
      <w:tblPr>
        <w:tblStyle w:val="TableGrid"/>
        <w:tblW w:w="0" w:type="auto"/>
        <w:tblLook w:val="04A0"/>
      </w:tblPr>
      <w:tblGrid>
        <w:gridCol w:w="378"/>
        <w:gridCol w:w="3780"/>
        <w:gridCol w:w="1087"/>
        <w:gridCol w:w="893"/>
        <w:gridCol w:w="3438"/>
      </w:tblGrid>
      <w:tr w:rsidR="00D44A74" w:rsidRPr="003127F7" w:rsidTr="000825CB">
        <w:tc>
          <w:tcPr>
            <w:tcW w:w="378" w:type="dxa"/>
          </w:tcPr>
          <w:p w:rsidR="00D44A74" w:rsidRPr="00D44A74" w:rsidRDefault="00D44A74" w:rsidP="00DF73F4">
            <w:pPr>
              <w:rPr>
                <w:b/>
              </w:rPr>
            </w:pPr>
          </w:p>
        </w:tc>
        <w:tc>
          <w:tcPr>
            <w:tcW w:w="3780" w:type="dxa"/>
            <w:tcBorders>
              <w:bottom w:val="single" w:sz="4" w:space="0" w:color="auto"/>
            </w:tcBorders>
          </w:tcPr>
          <w:p w:rsidR="00D44A74" w:rsidRPr="00D44A74" w:rsidRDefault="00D44A74" w:rsidP="00DF73F4">
            <w:pPr>
              <w:rPr>
                <w:b/>
              </w:rPr>
            </w:pPr>
            <w:r w:rsidRPr="00D44A74">
              <w:rPr>
                <w:b/>
              </w:rPr>
              <w:t>Issue</w:t>
            </w:r>
          </w:p>
        </w:tc>
        <w:tc>
          <w:tcPr>
            <w:tcW w:w="1087" w:type="dxa"/>
            <w:tcBorders>
              <w:bottom w:val="single" w:sz="4" w:space="0" w:color="auto"/>
            </w:tcBorders>
          </w:tcPr>
          <w:p w:rsidR="00D44A74" w:rsidRPr="00D44A74" w:rsidRDefault="00D44A74" w:rsidP="00DF73F4">
            <w:pPr>
              <w:rPr>
                <w:b/>
              </w:rPr>
            </w:pPr>
            <w:r w:rsidRPr="00D44A74">
              <w:rPr>
                <w:b/>
              </w:rPr>
              <w:t>Recorded</w:t>
            </w:r>
          </w:p>
        </w:tc>
        <w:tc>
          <w:tcPr>
            <w:tcW w:w="893" w:type="dxa"/>
            <w:tcBorders>
              <w:bottom w:val="single" w:sz="4" w:space="0" w:color="auto"/>
            </w:tcBorders>
          </w:tcPr>
          <w:p w:rsidR="00D44A74" w:rsidRPr="00D44A74" w:rsidRDefault="00D44A74" w:rsidP="00DF73F4">
            <w:pPr>
              <w:rPr>
                <w:b/>
              </w:rPr>
            </w:pPr>
            <w:r w:rsidRPr="00D44A74">
              <w:rPr>
                <w:b/>
              </w:rPr>
              <w:t>Status</w:t>
            </w:r>
          </w:p>
        </w:tc>
        <w:tc>
          <w:tcPr>
            <w:tcW w:w="3438" w:type="dxa"/>
            <w:tcBorders>
              <w:bottom w:val="single" w:sz="4" w:space="0" w:color="auto"/>
            </w:tcBorders>
          </w:tcPr>
          <w:p w:rsidR="00D44A74" w:rsidRPr="00D44A74" w:rsidRDefault="00D44A74" w:rsidP="00DF73F4">
            <w:pPr>
              <w:rPr>
                <w:b/>
              </w:rPr>
            </w:pPr>
            <w:r w:rsidRPr="00D44A74">
              <w:rPr>
                <w:b/>
              </w:rPr>
              <w:t xml:space="preserve">Notes </w:t>
            </w:r>
          </w:p>
        </w:tc>
      </w:tr>
      <w:tr w:rsidR="000825CB" w:rsidRPr="003127F7" w:rsidTr="00C73CA4">
        <w:tc>
          <w:tcPr>
            <w:tcW w:w="378" w:type="dxa"/>
            <w:tcBorders>
              <w:bottom w:val="single" w:sz="4" w:space="0" w:color="auto"/>
            </w:tcBorders>
          </w:tcPr>
          <w:p w:rsidR="000825CB" w:rsidRDefault="000825CB" w:rsidP="00FD7AE3">
            <w:r>
              <w:t>2</w:t>
            </w:r>
          </w:p>
        </w:tc>
        <w:tc>
          <w:tcPr>
            <w:tcW w:w="3780" w:type="dxa"/>
            <w:tcBorders>
              <w:bottom w:val="single" w:sz="4" w:space="0" w:color="auto"/>
            </w:tcBorders>
          </w:tcPr>
          <w:p w:rsidR="000825CB" w:rsidRDefault="000825CB" w:rsidP="00FD7AE3">
            <w:r>
              <w:t>No official HL7 project sponsor</w:t>
            </w:r>
          </w:p>
        </w:tc>
        <w:tc>
          <w:tcPr>
            <w:tcW w:w="1087" w:type="dxa"/>
          </w:tcPr>
          <w:p w:rsidR="000825CB" w:rsidRDefault="000825CB" w:rsidP="00FD7AE3">
            <w:r>
              <w:t>1/10</w:t>
            </w:r>
          </w:p>
        </w:tc>
        <w:tc>
          <w:tcPr>
            <w:tcW w:w="893" w:type="dxa"/>
          </w:tcPr>
          <w:p w:rsidR="000825CB" w:rsidRDefault="000825CB" w:rsidP="00FD7AE3">
            <w:r>
              <w:t>Open</w:t>
            </w:r>
          </w:p>
        </w:tc>
        <w:tc>
          <w:tcPr>
            <w:tcW w:w="3438" w:type="dxa"/>
          </w:tcPr>
          <w:p w:rsidR="000825CB" w:rsidRDefault="000825CB" w:rsidP="00FD7AE3">
            <w:r>
              <w:t>See action item 3, in process (1/12)</w:t>
            </w:r>
          </w:p>
          <w:p w:rsidR="000825CB" w:rsidRDefault="000825CB" w:rsidP="00FD7AE3">
            <w:r>
              <w:t>PC probably; needs meeting to confirm (1/19)</w:t>
            </w:r>
          </w:p>
        </w:tc>
      </w:tr>
      <w:tr w:rsidR="00D44A74" w:rsidRPr="003127F7" w:rsidTr="00C73CA4">
        <w:tc>
          <w:tcPr>
            <w:tcW w:w="378" w:type="dxa"/>
            <w:shd w:val="clear" w:color="auto" w:fill="D9D9D9" w:themeFill="background1" w:themeFillShade="D9"/>
          </w:tcPr>
          <w:p w:rsidR="00D44A74" w:rsidRPr="00D44A74" w:rsidRDefault="00D44A74" w:rsidP="00DF73F4">
            <w:r>
              <w:t>1</w:t>
            </w:r>
          </w:p>
        </w:tc>
        <w:tc>
          <w:tcPr>
            <w:tcW w:w="3780" w:type="dxa"/>
            <w:shd w:val="clear" w:color="auto" w:fill="D9D9D9" w:themeFill="background1" w:themeFillShade="D9"/>
          </w:tcPr>
          <w:p w:rsidR="00D44A74" w:rsidRPr="00D44A74" w:rsidRDefault="00D44A74" w:rsidP="00DF73F4">
            <w:r>
              <w:t>Model boundaries unclear</w:t>
            </w:r>
          </w:p>
        </w:tc>
        <w:tc>
          <w:tcPr>
            <w:tcW w:w="1087" w:type="dxa"/>
            <w:shd w:val="clear" w:color="auto" w:fill="D9D9D9" w:themeFill="background1" w:themeFillShade="D9"/>
          </w:tcPr>
          <w:p w:rsidR="00D44A74" w:rsidRPr="00D44A74" w:rsidRDefault="00D44A74" w:rsidP="00DF73F4">
            <w:r>
              <w:t>1/10</w:t>
            </w:r>
          </w:p>
        </w:tc>
        <w:tc>
          <w:tcPr>
            <w:tcW w:w="893" w:type="dxa"/>
            <w:shd w:val="clear" w:color="auto" w:fill="D9D9D9" w:themeFill="background1" w:themeFillShade="D9"/>
          </w:tcPr>
          <w:p w:rsidR="00D44A74" w:rsidRPr="00D44A74" w:rsidRDefault="00907762" w:rsidP="00DF73F4">
            <w:r>
              <w:t>Closed</w:t>
            </w:r>
          </w:p>
        </w:tc>
        <w:tc>
          <w:tcPr>
            <w:tcW w:w="3438" w:type="dxa"/>
            <w:shd w:val="clear" w:color="auto" w:fill="D9D9D9" w:themeFill="background1" w:themeFillShade="D9"/>
          </w:tcPr>
          <w:p w:rsidR="00D44A74" w:rsidRDefault="00D44A74" w:rsidP="00DF73F4">
            <w:r>
              <w:t>See action item 2, to be confirmed (1/12)</w:t>
            </w:r>
          </w:p>
          <w:p w:rsidR="00907762" w:rsidRPr="00D44A74" w:rsidRDefault="00907762" w:rsidP="00DF73F4">
            <w:r>
              <w:t>Clarified in meeting (1/19)</w:t>
            </w:r>
          </w:p>
        </w:tc>
      </w:tr>
    </w:tbl>
    <w:p w:rsidR="001106B2" w:rsidRPr="003127F7" w:rsidRDefault="001106B2" w:rsidP="00D44A74"/>
    <w:sectPr w:rsidR="001106B2" w:rsidRPr="003127F7" w:rsidSect="008938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A11"/>
    <w:multiLevelType w:val="hybridMultilevel"/>
    <w:tmpl w:val="0446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35017"/>
    <w:multiLevelType w:val="hybridMultilevel"/>
    <w:tmpl w:val="4CE0B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02460"/>
    <w:multiLevelType w:val="hybridMultilevel"/>
    <w:tmpl w:val="4CE0B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14979"/>
    <w:multiLevelType w:val="hybridMultilevel"/>
    <w:tmpl w:val="CA96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D689B"/>
    <w:multiLevelType w:val="hybridMultilevel"/>
    <w:tmpl w:val="9AC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7F7"/>
    <w:rsid w:val="00040ED3"/>
    <w:rsid w:val="00065309"/>
    <w:rsid w:val="000825CB"/>
    <w:rsid w:val="00110081"/>
    <w:rsid w:val="001106B2"/>
    <w:rsid w:val="00193163"/>
    <w:rsid w:val="00234412"/>
    <w:rsid w:val="0024530B"/>
    <w:rsid w:val="00280914"/>
    <w:rsid w:val="002B1122"/>
    <w:rsid w:val="003127F7"/>
    <w:rsid w:val="00417866"/>
    <w:rsid w:val="00431C72"/>
    <w:rsid w:val="00481D0E"/>
    <w:rsid w:val="0048426D"/>
    <w:rsid w:val="00512839"/>
    <w:rsid w:val="006741F2"/>
    <w:rsid w:val="00732B12"/>
    <w:rsid w:val="00781E95"/>
    <w:rsid w:val="007F6508"/>
    <w:rsid w:val="00840FA6"/>
    <w:rsid w:val="0089384C"/>
    <w:rsid w:val="00893F6D"/>
    <w:rsid w:val="00907762"/>
    <w:rsid w:val="0094666D"/>
    <w:rsid w:val="00993BF0"/>
    <w:rsid w:val="009A1FFF"/>
    <w:rsid w:val="009A7F90"/>
    <w:rsid w:val="009B4DE9"/>
    <w:rsid w:val="009F306D"/>
    <w:rsid w:val="00AA6756"/>
    <w:rsid w:val="00AB6BDC"/>
    <w:rsid w:val="00B66E64"/>
    <w:rsid w:val="00BD1F04"/>
    <w:rsid w:val="00BD2626"/>
    <w:rsid w:val="00C04832"/>
    <w:rsid w:val="00C73CA4"/>
    <w:rsid w:val="00C75AD6"/>
    <w:rsid w:val="00D1711F"/>
    <w:rsid w:val="00D37F3C"/>
    <w:rsid w:val="00D44A74"/>
    <w:rsid w:val="00D901F4"/>
    <w:rsid w:val="00DD7045"/>
    <w:rsid w:val="00DF5F90"/>
    <w:rsid w:val="00E10DEC"/>
    <w:rsid w:val="00EB245B"/>
    <w:rsid w:val="00EF1292"/>
    <w:rsid w:val="00F0512C"/>
    <w:rsid w:val="00F06292"/>
    <w:rsid w:val="00F729A5"/>
    <w:rsid w:val="00F72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4C"/>
  </w:style>
  <w:style w:type="paragraph" w:styleId="Heading1">
    <w:name w:val="heading 1"/>
    <w:basedOn w:val="Normal"/>
    <w:next w:val="Normal"/>
    <w:link w:val="Heading1Char"/>
    <w:uiPriority w:val="9"/>
    <w:qFormat/>
    <w:rsid w:val="00E10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0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F7"/>
    <w:pPr>
      <w:ind w:left="720"/>
      <w:contextualSpacing/>
    </w:pPr>
  </w:style>
  <w:style w:type="table" w:styleId="TableGrid">
    <w:name w:val="Table Grid"/>
    <w:basedOn w:val="TableNormal"/>
    <w:uiPriority w:val="59"/>
    <w:rsid w:val="00E10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10D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10DE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D1711F"/>
  </w:style>
  <w:style w:type="character" w:styleId="Hyperlink">
    <w:name w:val="Hyperlink"/>
    <w:basedOn w:val="DefaultParagraphFont"/>
    <w:uiPriority w:val="99"/>
    <w:semiHidden/>
    <w:unhideWhenUsed/>
    <w:rsid w:val="00D1711F"/>
    <w:rPr>
      <w:color w:val="0000FF"/>
      <w:u w:val="single"/>
    </w:rPr>
  </w:style>
  <w:style w:type="character" w:styleId="FollowedHyperlink">
    <w:name w:val="FollowedHyperlink"/>
    <w:basedOn w:val="DefaultParagraphFont"/>
    <w:uiPriority w:val="99"/>
    <w:semiHidden/>
    <w:unhideWhenUsed/>
    <w:rsid w:val="00D1711F"/>
    <w:rPr>
      <w:color w:val="800080" w:themeColor="followedHyperlink"/>
      <w:u w:val="single"/>
    </w:rPr>
  </w:style>
  <w:style w:type="paragraph" w:styleId="BalloonText">
    <w:name w:val="Balloon Text"/>
    <w:basedOn w:val="Normal"/>
    <w:link w:val="BalloonTextChar"/>
    <w:uiPriority w:val="99"/>
    <w:semiHidden/>
    <w:unhideWhenUsed/>
    <w:rsid w:val="0043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C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1356-0563-4B6A-AB07-5A875D63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jlyle</dc:creator>
  <cp:lastModifiedBy>jlyle</cp:lastModifiedBy>
  <cp:revision>7</cp:revision>
  <dcterms:created xsi:type="dcterms:W3CDTF">2011-01-24T15:49:00Z</dcterms:created>
  <dcterms:modified xsi:type="dcterms:W3CDTF">2011-01-24T19:15:00Z</dcterms:modified>
</cp:coreProperties>
</file>