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6E6739" w:rsidP="00A34AC1">
      <w:pPr>
        <w:rPr>
          <w:b/>
          <w:color w:val="1F497D"/>
        </w:rPr>
      </w:pPr>
      <w:r>
        <w:rPr>
          <w:b/>
          <w:color w:val="1F497D"/>
        </w:rPr>
        <w:t>August 7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CF1798" w:rsidRDefault="00D922CF" w:rsidP="00A34AC1">
      <w:pPr>
        <w:rPr>
          <w:color w:val="1F497D"/>
        </w:rPr>
      </w:pPr>
      <w:r>
        <w:rPr>
          <w:color w:val="1F497D"/>
        </w:rPr>
        <w:t>Stephen C</w:t>
      </w:r>
      <w:r w:rsidR="00CF1798">
        <w:rPr>
          <w:color w:val="1F497D"/>
        </w:rPr>
        <w:t>hu</w:t>
      </w:r>
    </w:p>
    <w:p w:rsidR="00886F12" w:rsidRDefault="00886F12" w:rsidP="00A34AC1">
      <w:pPr>
        <w:rPr>
          <w:color w:val="1F497D"/>
        </w:rPr>
      </w:pPr>
      <w:r>
        <w:rPr>
          <w:color w:val="1F497D"/>
        </w:rPr>
        <w:t xml:space="preserve">Iona </w:t>
      </w:r>
      <w:proofErr w:type="spellStart"/>
      <w:r>
        <w:rPr>
          <w:color w:val="1F497D"/>
        </w:rPr>
        <w:t>Threan</w:t>
      </w:r>
      <w:proofErr w:type="spellEnd"/>
    </w:p>
    <w:p w:rsidR="00CF1798" w:rsidRDefault="00CF1798" w:rsidP="00A34AC1">
      <w:pPr>
        <w:rPr>
          <w:color w:val="1F497D"/>
        </w:rPr>
      </w:pPr>
      <w:r>
        <w:rPr>
          <w:color w:val="1F497D"/>
        </w:rPr>
        <w:t xml:space="preserve">Igor </w:t>
      </w:r>
      <w:proofErr w:type="spellStart"/>
      <w:r>
        <w:rPr>
          <w:color w:val="1F497D"/>
        </w:rPr>
        <w:t>Sirkovich</w:t>
      </w:r>
      <w:proofErr w:type="spellEnd"/>
    </w:p>
    <w:p w:rsidR="00CF1798" w:rsidRDefault="00CF1798" w:rsidP="00A34AC1">
      <w:pPr>
        <w:rPr>
          <w:color w:val="1F497D"/>
        </w:rPr>
      </w:pPr>
      <w:r>
        <w:rPr>
          <w:color w:val="1F497D"/>
        </w:rPr>
        <w:t>Sharon Solomon</w:t>
      </w:r>
    </w:p>
    <w:p w:rsidR="00D922CF" w:rsidRDefault="00D922CF" w:rsidP="00A34AC1">
      <w:pPr>
        <w:rPr>
          <w:color w:val="1F497D"/>
        </w:rPr>
      </w:pPr>
      <w:r>
        <w:rPr>
          <w:color w:val="1F497D"/>
        </w:rPr>
        <w:t>Russ Leftwich</w:t>
      </w:r>
    </w:p>
    <w:p w:rsidR="00351A4D" w:rsidRDefault="00351A4D" w:rsidP="00A34AC1">
      <w:pPr>
        <w:rPr>
          <w:color w:val="1F497D"/>
        </w:rPr>
      </w:pPr>
      <w:r>
        <w:rPr>
          <w:color w:val="1F497D"/>
        </w:rPr>
        <w:t>Julia Chan</w:t>
      </w:r>
    </w:p>
    <w:p w:rsidR="00351A4D" w:rsidRDefault="00351A4D" w:rsidP="00A34AC1">
      <w:pPr>
        <w:rPr>
          <w:color w:val="1F497D"/>
        </w:rPr>
      </w:pPr>
      <w:r>
        <w:rPr>
          <w:color w:val="1F497D"/>
        </w:rPr>
        <w:t>Paul Knapp</w:t>
      </w:r>
    </w:p>
    <w:p w:rsidR="00351A4D" w:rsidRDefault="00351A4D" w:rsidP="00A34AC1">
      <w:pPr>
        <w:rPr>
          <w:color w:val="1F497D"/>
        </w:rPr>
      </w:pPr>
      <w:r>
        <w:rPr>
          <w:color w:val="1F497D"/>
        </w:rPr>
        <w:t xml:space="preserve">Rob </w:t>
      </w:r>
      <w:proofErr w:type="spellStart"/>
      <w:r>
        <w:rPr>
          <w:color w:val="1F497D"/>
        </w:rPr>
        <w:t>Hausam</w:t>
      </w:r>
      <w:proofErr w:type="spellEnd"/>
    </w:p>
    <w:p w:rsidR="001E4548" w:rsidRDefault="001E4548" w:rsidP="00A34AC1">
      <w:pPr>
        <w:rPr>
          <w:color w:val="1F497D"/>
        </w:rPr>
      </w:pPr>
      <w:r>
        <w:rPr>
          <w:color w:val="1F497D"/>
        </w:rPr>
        <w:t>Jay Lyle</w:t>
      </w:r>
    </w:p>
    <w:p w:rsidR="001E4548" w:rsidRDefault="001E4548" w:rsidP="00A34AC1">
      <w:pPr>
        <w:rPr>
          <w:color w:val="1F497D"/>
        </w:rPr>
      </w:pPr>
      <w:r>
        <w:rPr>
          <w:color w:val="1F497D"/>
        </w:rPr>
        <w:t xml:space="preserve">Lloyd </w:t>
      </w:r>
      <w:proofErr w:type="spellStart"/>
      <w:r>
        <w:rPr>
          <w:color w:val="1F497D"/>
        </w:rPr>
        <w:t>MacKenzie</w:t>
      </w:r>
      <w:proofErr w:type="spellEnd"/>
    </w:p>
    <w:p w:rsidR="005A5F0A" w:rsidRDefault="005A5F0A" w:rsidP="00A34AC1">
      <w:pPr>
        <w:rPr>
          <w:color w:val="1F497D"/>
        </w:rPr>
      </w:pPr>
      <w:r>
        <w:rPr>
          <w:color w:val="1F497D"/>
        </w:rPr>
        <w:t>Emma Jones</w:t>
      </w:r>
    </w:p>
    <w:p w:rsidR="00CF1798" w:rsidRDefault="005C2D24" w:rsidP="00A34AC1">
      <w:pPr>
        <w:rPr>
          <w:color w:val="1F497D"/>
        </w:rPr>
      </w:pPr>
      <w:r>
        <w:rPr>
          <w:color w:val="1F497D"/>
        </w:rPr>
        <w:t>David Hay</w:t>
      </w:r>
    </w:p>
    <w:p w:rsidR="00D8384D" w:rsidRDefault="00D8384D" w:rsidP="00A34AC1">
      <w:pPr>
        <w:rPr>
          <w:color w:val="1F497D"/>
        </w:rPr>
      </w:pPr>
    </w:p>
    <w:p w:rsidR="00D8384D" w:rsidRPr="00D8384D" w:rsidRDefault="00D8384D" w:rsidP="00A34AC1">
      <w:pPr>
        <w:rPr>
          <w:b/>
          <w:color w:val="1F497D"/>
          <w:u w:val="single"/>
        </w:rPr>
      </w:pPr>
      <w:r w:rsidRPr="00D8384D">
        <w:rPr>
          <w:b/>
          <w:color w:val="1F497D"/>
          <w:u w:val="single"/>
        </w:rPr>
        <w:t xml:space="preserve">Agenda: </w:t>
      </w: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Agenda</w:t>
      </w: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topics.</w:t>
      </w:r>
    </w:p>
    <w:p w:rsidR="006E6739" w:rsidRDefault="006E6739" w:rsidP="00D8384D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Participant list</w:t>
      </w:r>
    </w:p>
    <w:p w:rsidR="00D8384D" w:rsidRDefault="006E6739" w:rsidP="00D8384D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Invitation from Chuck Jaffe</w:t>
      </w:r>
    </w:p>
    <w:p w:rsidR="009A51DC" w:rsidRDefault="00EB59BA" w:rsidP="003A071F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Development of materials for the August 21 orientation call</w:t>
      </w:r>
    </w:p>
    <w:p w:rsidR="006E6739" w:rsidRPr="003A071F" w:rsidRDefault="006E6739" w:rsidP="003A071F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Status of UI</w:t>
      </w:r>
    </w:p>
    <w:p w:rsidR="00D8384D" w:rsidRPr="00EB59BA" w:rsidRDefault="006E6739" w:rsidP="00EB59BA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Scripts for clinician use</w:t>
      </w:r>
    </w:p>
    <w:p w:rsidR="00EB59BA" w:rsidRDefault="006E6739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and voting on change request proposals</w:t>
      </w:r>
      <w:r w:rsidR="00886F12">
        <w:rPr>
          <w:rFonts w:ascii="Calibri" w:hAnsi="Calibri"/>
          <w:color w:val="1F497D"/>
        </w:rPr>
        <w:t xml:space="preserve"> for DSTU FHIR resources</w:t>
      </w:r>
    </w:p>
    <w:p w:rsidR="00D8384D" w:rsidRDefault="00D8384D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Continue to review the referral request and the supporting information – Stephen Chu</w:t>
      </w:r>
    </w:p>
    <w:p w:rsidR="00EB59BA" w:rsidRDefault="00EB59BA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Clinical assessment resource </w:t>
      </w:r>
      <w:r w:rsidR="00913DA3">
        <w:rPr>
          <w:rFonts w:ascii="Calibri" w:hAnsi="Calibri"/>
          <w:color w:val="1F497D"/>
        </w:rPr>
        <w:t>–</w:t>
      </w:r>
      <w:r>
        <w:rPr>
          <w:rFonts w:ascii="Calibri" w:hAnsi="Calibri"/>
          <w:color w:val="1F497D"/>
        </w:rPr>
        <w:t xml:space="preserve"> discussion</w:t>
      </w:r>
    </w:p>
    <w:p w:rsidR="001E4548" w:rsidRDefault="001E4548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resources</w:t>
      </w:r>
    </w:p>
    <w:p w:rsidR="001E4548" w:rsidRDefault="001E4548" w:rsidP="001E4548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Risk assessment</w:t>
      </w:r>
    </w:p>
    <w:p w:rsidR="001E4548" w:rsidRDefault="001E4548" w:rsidP="001E4548">
      <w:pPr>
        <w:pStyle w:val="ListParagraph"/>
        <w:numPr>
          <w:ilvl w:val="1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Contraindications</w:t>
      </w:r>
    </w:p>
    <w:p w:rsidR="00913DA3" w:rsidRDefault="00913DA3" w:rsidP="00D8384D">
      <w:pPr>
        <w:pStyle w:val="ListParagraph"/>
        <w:numPr>
          <w:ilvl w:val="0"/>
          <w:numId w:val="3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C-CDA on FHIR</w:t>
      </w:r>
    </w:p>
    <w:p w:rsidR="00D8384D" w:rsidRPr="00886F12" w:rsidRDefault="00D8384D" w:rsidP="00D8384D">
      <w:pPr>
        <w:pStyle w:val="ListParagraph"/>
        <w:numPr>
          <w:ilvl w:val="0"/>
          <w:numId w:val="36"/>
        </w:numPr>
        <w:rPr>
          <w:rFonts w:ascii="Cambria" w:hAnsi="Cambria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EB59BA">
        <w:rPr>
          <w:rFonts w:ascii="Calibri" w:hAnsi="Calibri"/>
          <w:color w:val="1F497D"/>
        </w:rPr>
        <w:t xml:space="preserve">August </w:t>
      </w:r>
      <w:r w:rsidR="006E6739">
        <w:rPr>
          <w:rFonts w:ascii="Calibri" w:hAnsi="Calibri"/>
          <w:color w:val="1F497D"/>
        </w:rPr>
        <w:t>14</w:t>
      </w:r>
      <w:r w:rsidR="00DB46FC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at 5 PM EDT </w:t>
      </w:r>
    </w:p>
    <w:p w:rsidR="00886F12" w:rsidRPr="00011E9C" w:rsidRDefault="00886F12" w:rsidP="00886F12">
      <w:pPr>
        <w:pStyle w:val="ListParagraph"/>
        <w:numPr>
          <w:ilvl w:val="1"/>
          <w:numId w:val="36"/>
        </w:numPr>
        <w:rPr>
          <w:rFonts w:ascii="Cambria" w:hAnsi="Cambria"/>
          <w:color w:val="1F497D"/>
        </w:rPr>
      </w:pPr>
      <w:r>
        <w:rPr>
          <w:rFonts w:ascii="Calibri" w:hAnsi="Calibri"/>
          <w:color w:val="1F497D"/>
        </w:rPr>
        <w:lastRenderedPageBreak/>
        <w:t xml:space="preserve">Note – August 21 is the orientation call for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</w:p>
    <w:p w:rsidR="00011E9C" w:rsidRDefault="00011E9C" w:rsidP="00011E9C">
      <w:pPr>
        <w:rPr>
          <w:rFonts w:ascii="Cambria" w:hAnsi="Cambria"/>
          <w:color w:val="1F497D"/>
        </w:rPr>
      </w:pPr>
    </w:p>
    <w:p w:rsidR="00822E42" w:rsidRDefault="00822E42" w:rsidP="00011E9C">
      <w:pPr>
        <w:rPr>
          <w:rFonts w:ascii="Cambria" w:hAnsi="Cambria"/>
          <w:b/>
          <w:color w:val="1F497D"/>
        </w:rPr>
      </w:pPr>
      <w:proofErr w:type="spellStart"/>
      <w:r w:rsidRPr="00822E42">
        <w:rPr>
          <w:rFonts w:ascii="Cambria" w:hAnsi="Cambria"/>
          <w:b/>
          <w:color w:val="1F497D"/>
        </w:rPr>
        <w:t>Connectathon</w:t>
      </w:r>
      <w:proofErr w:type="spellEnd"/>
    </w:p>
    <w:p w:rsidR="005A5F0A" w:rsidRDefault="005A5F0A" w:rsidP="00011E9C">
      <w:pPr>
        <w:rPr>
          <w:rFonts w:ascii="Cambria" w:hAnsi="Cambria"/>
          <w:b/>
          <w:color w:val="1F497D"/>
        </w:rPr>
      </w:pPr>
    </w:p>
    <w:p w:rsidR="005A5F0A" w:rsidRDefault="005A5F0A" w:rsidP="004D00A5">
      <w:pPr>
        <w:pStyle w:val="ListParagraph"/>
        <w:numPr>
          <w:ilvl w:val="0"/>
          <w:numId w:val="40"/>
        </w:numPr>
        <w:rPr>
          <w:rFonts w:ascii="Cambria" w:hAnsi="Cambria"/>
          <w:color w:val="1F497D"/>
        </w:rPr>
      </w:pPr>
      <w:r w:rsidRPr="004D00A5">
        <w:rPr>
          <w:rFonts w:ascii="Cambria" w:hAnsi="Cambria"/>
          <w:color w:val="1F497D"/>
        </w:rPr>
        <w:t>Discussion about clinicians – adding another non-clinician request (Emma Jones)</w:t>
      </w:r>
    </w:p>
    <w:p w:rsidR="00AD6CFB" w:rsidRDefault="00327812" w:rsidP="00AD6CFB">
      <w:pPr>
        <w:pStyle w:val="ListParagraph"/>
        <w:numPr>
          <w:ilvl w:val="1"/>
          <w:numId w:val="40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Focus of</w:t>
      </w:r>
      <w:r w:rsidR="00AD6CFB">
        <w:rPr>
          <w:rFonts w:ascii="Cambria" w:hAnsi="Cambria"/>
          <w:color w:val="1F497D"/>
        </w:rPr>
        <w:t xml:space="preserve"> </w:t>
      </w:r>
      <w:proofErr w:type="spellStart"/>
      <w:r w:rsidR="00AD6CFB">
        <w:rPr>
          <w:rFonts w:ascii="Cambria" w:hAnsi="Cambria"/>
          <w:color w:val="1F497D"/>
        </w:rPr>
        <w:t>connectathon</w:t>
      </w:r>
      <w:proofErr w:type="spellEnd"/>
      <w:r w:rsidR="00AD6CFB">
        <w:rPr>
          <w:rFonts w:ascii="Cambria" w:hAnsi="Cambria"/>
          <w:color w:val="1F497D"/>
        </w:rPr>
        <w:t xml:space="preserve"> – not the system, rather the data structures.  This particular application will not be appropriate for clinical use. </w:t>
      </w:r>
      <w:r>
        <w:rPr>
          <w:rFonts w:ascii="Cambria" w:hAnsi="Cambria"/>
          <w:color w:val="1F497D"/>
        </w:rPr>
        <w:t xml:space="preserve">  The main FHIR </w:t>
      </w:r>
      <w:proofErr w:type="spellStart"/>
      <w:r>
        <w:rPr>
          <w:rFonts w:ascii="Cambria" w:hAnsi="Cambria"/>
          <w:color w:val="1F497D"/>
        </w:rPr>
        <w:t>connectathon</w:t>
      </w:r>
      <w:proofErr w:type="spellEnd"/>
      <w:r>
        <w:rPr>
          <w:rFonts w:ascii="Cambria" w:hAnsi="Cambria"/>
          <w:color w:val="1F497D"/>
        </w:rPr>
        <w:t xml:space="preserve"> looks more at the specifications for interoperability.  </w:t>
      </w:r>
      <w:r w:rsidR="00A677F0">
        <w:rPr>
          <w:rFonts w:ascii="Cambria" w:hAnsi="Cambria"/>
          <w:color w:val="1F497D"/>
        </w:rPr>
        <w:t xml:space="preserve">Will we allow observers at the first </w:t>
      </w:r>
      <w:proofErr w:type="spellStart"/>
      <w:r w:rsidR="00A677F0">
        <w:rPr>
          <w:rFonts w:ascii="Cambria" w:hAnsi="Cambria"/>
          <w:color w:val="1F497D"/>
        </w:rPr>
        <w:t>connectathon</w:t>
      </w:r>
      <w:proofErr w:type="spellEnd"/>
      <w:r w:rsidR="00A677F0">
        <w:rPr>
          <w:rFonts w:ascii="Cambria" w:hAnsi="Cambria"/>
          <w:color w:val="1F497D"/>
        </w:rPr>
        <w:t xml:space="preserve">?  </w:t>
      </w:r>
      <w:proofErr w:type="gramStart"/>
      <w:r w:rsidR="00A677F0">
        <w:rPr>
          <w:rFonts w:ascii="Cambria" w:hAnsi="Cambria"/>
          <w:color w:val="1F497D"/>
        </w:rPr>
        <w:t>An evaluation criteria</w:t>
      </w:r>
      <w:proofErr w:type="gramEnd"/>
      <w:r w:rsidR="00A677F0">
        <w:rPr>
          <w:rFonts w:ascii="Cambria" w:hAnsi="Cambria"/>
          <w:color w:val="1F497D"/>
        </w:rPr>
        <w:t xml:space="preserve"> would be to determine if observers would be appropriate for future </w:t>
      </w:r>
      <w:proofErr w:type="spellStart"/>
      <w:r w:rsidR="00A677F0">
        <w:rPr>
          <w:rFonts w:ascii="Cambria" w:hAnsi="Cambria"/>
          <w:color w:val="1F497D"/>
        </w:rPr>
        <w:t>connectathons</w:t>
      </w:r>
      <w:proofErr w:type="spellEnd"/>
      <w:r w:rsidR="00A677F0">
        <w:rPr>
          <w:rFonts w:ascii="Cambria" w:hAnsi="Cambria"/>
          <w:color w:val="1F497D"/>
        </w:rPr>
        <w:t xml:space="preserve">.  </w:t>
      </w:r>
    </w:p>
    <w:p w:rsidR="005D1571" w:rsidRDefault="005D1571" w:rsidP="00AD6CFB">
      <w:pPr>
        <w:pStyle w:val="ListParagraph"/>
        <w:numPr>
          <w:ilvl w:val="1"/>
          <w:numId w:val="40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Invite from Chuck Jaffe – Russ</w:t>
      </w:r>
    </w:p>
    <w:p w:rsidR="005D1571" w:rsidRDefault="005D1571" w:rsidP="00AD6CFB">
      <w:pPr>
        <w:pStyle w:val="ListParagraph"/>
        <w:numPr>
          <w:ilvl w:val="1"/>
          <w:numId w:val="40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Packet for the 21</w:t>
      </w:r>
      <w:r w:rsidRPr="005D1571">
        <w:rPr>
          <w:rFonts w:ascii="Cambria" w:hAnsi="Cambria"/>
          <w:color w:val="1F497D"/>
          <w:vertAlign w:val="superscript"/>
        </w:rPr>
        <w:t>st</w:t>
      </w:r>
      <w:r>
        <w:rPr>
          <w:rFonts w:ascii="Cambria" w:hAnsi="Cambria"/>
          <w:color w:val="1F497D"/>
        </w:rPr>
        <w:t>.  – Elaine</w:t>
      </w:r>
    </w:p>
    <w:p w:rsidR="005D1571" w:rsidRDefault="005D1571" w:rsidP="00AD6CFB">
      <w:pPr>
        <w:pStyle w:val="ListParagraph"/>
        <w:numPr>
          <w:ilvl w:val="1"/>
          <w:numId w:val="40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UI development – generating questionnaires for UI</w:t>
      </w:r>
    </w:p>
    <w:p w:rsidR="005D1571" w:rsidRDefault="005D1571" w:rsidP="005D1571">
      <w:pPr>
        <w:pStyle w:val="ListParagraph"/>
        <w:numPr>
          <w:ilvl w:val="2"/>
          <w:numId w:val="40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Capturing coding </w:t>
      </w:r>
      <w:proofErr w:type="gramStart"/>
      <w:r>
        <w:rPr>
          <w:rFonts w:ascii="Cambria" w:hAnsi="Cambria"/>
          <w:color w:val="1F497D"/>
        </w:rPr>
        <w:t>data  --</w:t>
      </w:r>
      <w:proofErr w:type="gramEnd"/>
      <w:r>
        <w:rPr>
          <w:rFonts w:ascii="Cambria" w:hAnsi="Cambria"/>
          <w:color w:val="1F497D"/>
        </w:rPr>
        <w:t xml:space="preserve"> some resources have value sets, and some don’t.  If users would like to use a value set we need to provide.  </w:t>
      </w:r>
    </w:p>
    <w:p w:rsidR="005D1571" w:rsidRPr="004D00A5" w:rsidRDefault="005D1571" w:rsidP="005D1571">
      <w:pPr>
        <w:pStyle w:val="ListParagraph"/>
        <w:numPr>
          <w:ilvl w:val="2"/>
          <w:numId w:val="40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Query for current value sets vs. resources that do not have – provide 5-10 categories where needed.  Constrain scripts to specific conditions.  A value set can be large – searchable and can filter.</w:t>
      </w:r>
    </w:p>
    <w:p w:rsidR="00822E42" w:rsidRDefault="00822E42" w:rsidP="00011E9C">
      <w:pPr>
        <w:rPr>
          <w:rFonts w:ascii="Cambria" w:hAnsi="Cambria"/>
          <w:color w:val="1F497D"/>
        </w:rPr>
      </w:pPr>
    </w:p>
    <w:p w:rsidR="00A71458" w:rsidRDefault="00E85ABD" w:rsidP="00011E9C">
      <w:pPr>
        <w:rPr>
          <w:rStyle w:val="Hyperlink"/>
        </w:rPr>
      </w:pPr>
      <w:r>
        <w:rPr>
          <w:rFonts w:ascii="Cambria" w:hAnsi="Cambria"/>
          <w:color w:val="1F497D"/>
        </w:rPr>
        <w:t xml:space="preserve">David Hay’s Blog re </w:t>
      </w:r>
      <w:proofErr w:type="spellStart"/>
      <w:r>
        <w:rPr>
          <w:rFonts w:ascii="Cambria" w:hAnsi="Cambria"/>
          <w:color w:val="1F497D"/>
        </w:rPr>
        <w:t>Connectathon</w:t>
      </w:r>
      <w:proofErr w:type="spellEnd"/>
      <w:r>
        <w:rPr>
          <w:rFonts w:ascii="Cambria" w:hAnsi="Cambria"/>
          <w:color w:val="1F497D"/>
        </w:rPr>
        <w:t xml:space="preserve"> Recap: </w:t>
      </w:r>
      <w:r>
        <w:t> </w:t>
      </w:r>
      <w:hyperlink r:id="rId9" w:history="1">
        <w:r>
          <w:rPr>
            <w:rStyle w:val="Hyperlink"/>
          </w:rPr>
          <w:t>http://fhirblog.com/2014/07/26/clinical-scenarios-in-fhir-2/</w:t>
        </w:r>
      </w:hyperlink>
    </w:p>
    <w:p w:rsidR="00A7532E" w:rsidRDefault="00A7532E" w:rsidP="00011E9C">
      <w:pPr>
        <w:rPr>
          <w:rStyle w:val="Hyperlink"/>
        </w:rPr>
      </w:pPr>
    </w:p>
    <w:p w:rsidR="00A7532E" w:rsidRDefault="00A7532E" w:rsidP="00011E9C">
      <w:pPr>
        <w:rPr>
          <w:rStyle w:val="Hyperlink"/>
          <w:u w:val="none"/>
        </w:rPr>
      </w:pPr>
      <w:r w:rsidRPr="00A7532E">
        <w:rPr>
          <w:rStyle w:val="Hyperlink"/>
          <w:color w:val="auto"/>
          <w:u w:val="none"/>
        </w:rPr>
        <w:t>David Hay’s Blog on clinical examples</w:t>
      </w:r>
      <w:r>
        <w:rPr>
          <w:rStyle w:val="Hyperlink"/>
          <w:u w:val="none"/>
        </w:rPr>
        <w:t xml:space="preserve">:  </w:t>
      </w:r>
      <w:hyperlink r:id="rId10" w:history="1">
        <w:r w:rsidRPr="00C647B0">
          <w:rPr>
            <w:rStyle w:val="Hyperlink"/>
          </w:rPr>
          <w:t>http://fhirblog.com/2014/08/08/creating-examples-in-fhir/</w:t>
        </w:r>
      </w:hyperlink>
    </w:p>
    <w:p w:rsidR="00A7532E" w:rsidRPr="00A7532E" w:rsidRDefault="00A7532E" w:rsidP="00011E9C"/>
    <w:p w:rsidR="0097499F" w:rsidRDefault="003A071F" w:rsidP="00011E9C">
      <w:proofErr w:type="gramStart"/>
      <w:r>
        <w:t>August 21 Orientation – in document, introduction, objectives, goals of the day, and links to wiki and blogs.</w:t>
      </w:r>
      <w:proofErr w:type="gramEnd"/>
      <w:r>
        <w:t xml:space="preserve">  </w:t>
      </w:r>
    </w:p>
    <w:p w:rsidR="0097499F" w:rsidRDefault="0097499F" w:rsidP="00011E9C"/>
    <w:p w:rsidR="003A071F" w:rsidRDefault="0097499F" w:rsidP="00011E9C">
      <w:r>
        <w:t>Need use case scripts</w:t>
      </w:r>
      <w:r w:rsidR="007803E9">
        <w:t xml:space="preserve"> with a dialog that is more information than need be captured. </w:t>
      </w:r>
    </w:p>
    <w:p w:rsidR="007B4503" w:rsidRDefault="007B4503" w:rsidP="00011E9C"/>
    <w:p w:rsidR="007803E9" w:rsidRDefault="007803E9" w:rsidP="00011E9C"/>
    <w:p w:rsidR="007803E9" w:rsidRDefault="007803E9" w:rsidP="00011E9C">
      <w:r>
        <w:t xml:space="preserve">In this </w:t>
      </w:r>
      <w:proofErr w:type="spellStart"/>
      <w:r>
        <w:t>connectathon</w:t>
      </w:r>
      <w:proofErr w:type="spellEnd"/>
      <w:r>
        <w:t xml:space="preserve"> – wear many hats and do all of the data entry, vs. pass-offs.  Group wishes to have different roles accommodated.  </w:t>
      </w:r>
    </w:p>
    <w:p w:rsidR="00357535" w:rsidRDefault="00357535" w:rsidP="00011E9C"/>
    <w:p w:rsidR="00357535" w:rsidRDefault="00357535" w:rsidP="00011E9C">
      <w:r>
        <w:t>Scripts:</w:t>
      </w:r>
      <w:r w:rsidR="0035756E">
        <w:t xml:space="preserve"> Review on next call.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Acute Condition - Laura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Chronic Condition – Stephen (Kevin has some additional use case information)</w:t>
      </w:r>
    </w:p>
    <w:p w:rsidR="00357535" w:rsidRDefault="00357535" w:rsidP="00357535">
      <w:pPr>
        <w:pStyle w:val="ListParagraph"/>
        <w:numPr>
          <w:ilvl w:val="0"/>
          <w:numId w:val="39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Allergy and Intolerance </w:t>
      </w:r>
      <w:r w:rsidR="009822A8">
        <w:rPr>
          <w:rFonts w:ascii="Cambria" w:hAnsi="Cambria"/>
          <w:color w:val="1F497D"/>
        </w:rPr>
        <w:t>–</w:t>
      </w:r>
      <w:r>
        <w:rPr>
          <w:rFonts w:ascii="Cambria" w:hAnsi="Cambria"/>
          <w:color w:val="1F497D"/>
        </w:rPr>
        <w:t xml:space="preserve"> </w:t>
      </w:r>
      <w:r w:rsidR="009822A8">
        <w:rPr>
          <w:rFonts w:ascii="Cambria" w:hAnsi="Cambria"/>
          <w:color w:val="1F497D"/>
        </w:rPr>
        <w:t>Russ and Elaine</w:t>
      </w:r>
    </w:p>
    <w:p w:rsidR="003C1D41" w:rsidRDefault="003C1D41" w:rsidP="003C1D41">
      <w:pPr>
        <w:rPr>
          <w:rFonts w:ascii="Cambria" w:hAnsi="Cambria"/>
          <w:color w:val="1F497D"/>
        </w:rPr>
      </w:pPr>
    </w:p>
    <w:p w:rsidR="003C1D41" w:rsidRDefault="00861060" w:rsidP="003C1D4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Resource change requests – the group </w:t>
      </w:r>
      <w:proofErr w:type="gramStart"/>
      <w:r>
        <w:rPr>
          <w:rFonts w:ascii="Cambria" w:hAnsi="Cambria"/>
          <w:color w:val="1F497D"/>
        </w:rPr>
        <w:t>reviewed,</w:t>
      </w:r>
      <w:proofErr w:type="gramEnd"/>
      <w:r>
        <w:rPr>
          <w:rFonts w:ascii="Cambria" w:hAnsi="Cambria"/>
          <w:color w:val="1F497D"/>
        </w:rPr>
        <w:t xml:space="preserve"> discussed and voted on multiple change requests.    These have been posted to </w:t>
      </w:r>
      <w:proofErr w:type="spellStart"/>
      <w:r>
        <w:rPr>
          <w:rFonts w:ascii="Cambria" w:hAnsi="Cambria"/>
          <w:color w:val="1F497D"/>
        </w:rPr>
        <w:t>GForge</w:t>
      </w:r>
      <w:proofErr w:type="spellEnd"/>
      <w:r>
        <w:rPr>
          <w:rFonts w:ascii="Cambria" w:hAnsi="Cambria"/>
          <w:color w:val="1F497D"/>
        </w:rPr>
        <w:t xml:space="preserve"> FHIR.</w:t>
      </w:r>
    </w:p>
    <w:p w:rsidR="00861060" w:rsidRDefault="00861060" w:rsidP="003C1D41">
      <w:pPr>
        <w:rPr>
          <w:rFonts w:ascii="Cambria" w:hAnsi="Cambria"/>
          <w:color w:val="1F497D"/>
        </w:rPr>
      </w:pPr>
    </w:p>
    <w:p w:rsidR="00861060" w:rsidRPr="00861060" w:rsidRDefault="00861060" w:rsidP="00861060">
      <w:pPr>
        <w:rPr>
          <w:rFonts w:ascii="Cambria" w:hAnsi="Cambria"/>
          <w:color w:val="1F497D"/>
        </w:rPr>
      </w:pPr>
      <w:r w:rsidRPr="00861060">
        <w:rPr>
          <w:rFonts w:ascii="Cambria" w:hAnsi="Cambria"/>
          <w:b/>
          <w:color w:val="1F497D"/>
        </w:rPr>
        <w:t>3001</w:t>
      </w:r>
      <w:r w:rsidRPr="00861060">
        <w:rPr>
          <w:rFonts w:ascii="Cambria" w:hAnsi="Cambria"/>
          <w:color w:val="1F497D"/>
        </w:rPr>
        <w:tab/>
        <w:t xml:space="preserve">Three options - use same resources to include order "mood", use referral resource, or create a new resource for order procedure. </w:t>
      </w:r>
      <w:proofErr w:type="gramStart"/>
      <w:r w:rsidRPr="00861060">
        <w:rPr>
          <w:rFonts w:ascii="Cambria" w:hAnsi="Cambria"/>
          <w:color w:val="1F497D"/>
        </w:rPr>
        <w:t xml:space="preserve">Differences in "orders" for procedures </w:t>
      </w:r>
      <w:proofErr w:type="spellStart"/>
      <w:r w:rsidRPr="00861060">
        <w:rPr>
          <w:rFonts w:ascii="Cambria" w:hAnsi="Cambria"/>
          <w:color w:val="1F497D"/>
        </w:rPr>
        <w:t>vs.consults</w:t>
      </w:r>
      <w:proofErr w:type="spellEnd"/>
      <w:r w:rsidRPr="00861060">
        <w:rPr>
          <w:rFonts w:ascii="Cambria" w:hAnsi="Cambria"/>
          <w:color w:val="1F497D"/>
        </w:rPr>
        <w:t>.</w:t>
      </w:r>
      <w:proofErr w:type="gramEnd"/>
      <w:r w:rsidRPr="00861060">
        <w:rPr>
          <w:rFonts w:ascii="Cambria" w:hAnsi="Cambria"/>
          <w:color w:val="1F497D"/>
        </w:rPr>
        <w:t xml:space="preserve"> Where do you routinely find procedure orders? </w:t>
      </w:r>
      <w:proofErr w:type="gramStart"/>
      <w:r w:rsidRPr="00861060">
        <w:rPr>
          <w:rFonts w:ascii="Cambria" w:hAnsi="Cambria"/>
          <w:color w:val="1F497D"/>
        </w:rPr>
        <w:t>Can refer to referral order.</w:t>
      </w:r>
      <w:proofErr w:type="gramEnd"/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</w:p>
    <w:p w:rsidR="00861060" w:rsidRDefault="00861060" w:rsidP="00861060">
      <w:pPr>
        <w:rPr>
          <w:rFonts w:ascii="Cambria" w:hAnsi="Cambria"/>
          <w:color w:val="1F497D"/>
        </w:rPr>
      </w:pPr>
      <w:r w:rsidRPr="00861060">
        <w:rPr>
          <w:rFonts w:ascii="Cambria" w:hAnsi="Cambria"/>
          <w:color w:val="1F497D"/>
        </w:rPr>
        <w:lastRenderedPageBreak/>
        <w:t xml:space="preserve">DECISION:  Motion </w:t>
      </w:r>
      <w:proofErr w:type="gramStart"/>
      <w:r w:rsidRPr="00861060">
        <w:rPr>
          <w:rFonts w:ascii="Cambria" w:hAnsi="Cambria"/>
          <w:color w:val="1F497D"/>
        </w:rPr>
        <w:t>create</w:t>
      </w:r>
      <w:proofErr w:type="gramEnd"/>
      <w:r w:rsidRPr="00861060">
        <w:rPr>
          <w:rFonts w:ascii="Cambria" w:hAnsi="Cambria"/>
          <w:color w:val="1F497D"/>
        </w:rPr>
        <w:t xml:space="preserve"> a new resources call procedure order.  Elaine/Stephen -- Ab - 0, </w:t>
      </w:r>
      <w:proofErr w:type="spellStart"/>
      <w:r w:rsidRPr="00861060">
        <w:rPr>
          <w:rFonts w:ascii="Cambria" w:hAnsi="Cambria"/>
          <w:color w:val="1F497D"/>
        </w:rPr>
        <w:t>Neg</w:t>
      </w:r>
      <w:proofErr w:type="spellEnd"/>
      <w:r w:rsidRPr="00861060">
        <w:rPr>
          <w:rFonts w:ascii="Cambria" w:hAnsi="Cambria"/>
          <w:color w:val="1F497D"/>
        </w:rPr>
        <w:t xml:space="preserve"> - 0, Yes - </w:t>
      </w:r>
      <w:proofErr w:type="gramStart"/>
      <w:r w:rsidRPr="00861060">
        <w:rPr>
          <w:rFonts w:ascii="Cambria" w:hAnsi="Cambria"/>
          <w:color w:val="1F497D"/>
        </w:rPr>
        <w:t>11  FMG</w:t>
      </w:r>
      <w:proofErr w:type="gramEnd"/>
      <w:r w:rsidRPr="00861060">
        <w:rPr>
          <w:rFonts w:ascii="Cambria" w:hAnsi="Cambria"/>
          <w:color w:val="1F497D"/>
        </w:rPr>
        <w:t xml:space="preserve"> timelines -- ballot in Jan - draft for comment, vs. DSTU.  Want a draft however in December.  Final for March 30.  </w:t>
      </w:r>
      <w:proofErr w:type="gramStart"/>
      <w:r w:rsidRPr="00861060">
        <w:rPr>
          <w:rFonts w:ascii="Cambria" w:hAnsi="Cambria"/>
          <w:color w:val="1F497D"/>
        </w:rPr>
        <w:t>Will need resource proposal.</w:t>
      </w:r>
      <w:proofErr w:type="gramEnd"/>
      <w:r w:rsidRPr="00861060">
        <w:rPr>
          <w:rFonts w:ascii="Cambria" w:hAnsi="Cambria"/>
          <w:color w:val="1F497D"/>
        </w:rPr>
        <w:tab/>
      </w:r>
    </w:p>
    <w:p w:rsidR="00861060" w:rsidRDefault="00861060" w:rsidP="00861060">
      <w:pPr>
        <w:rPr>
          <w:rFonts w:ascii="Cambria" w:hAnsi="Cambria"/>
          <w:color w:val="1F497D"/>
        </w:rPr>
      </w:pPr>
    </w:p>
    <w:p w:rsidR="00861060" w:rsidRPr="00861060" w:rsidRDefault="00861060" w:rsidP="00861060">
      <w:pPr>
        <w:rPr>
          <w:rFonts w:ascii="Cambria" w:hAnsi="Cambria"/>
          <w:color w:val="1F497D"/>
        </w:rPr>
      </w:pPr>
      <w:r w:rsidRPr="00861060">
        <w:rPr>
          <w:rFonts w:ascii="Cambria" w:hAnsi="Cambria"/>
          <w:b/>
          <w:color w:val="1F497D"/>
        </w:rPr>
        <w:t>3440</w:t>
      </w:r>
      <w:r w:rsidRPr="00861060">
        <w:rPr>
          <w:rFonts w:ascii="Cambria" w:hAnsi="Cambria"/>
          <w:color w:val="1F497D"/>
        </w:rPr>
        <w:tab/>
        <w:t>No - unless there are different use cases such as a device required to pull out answers from previously provided answers to questionnaires.  This would be an auto-populate function.  Software might populate the answers.</w:t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</w:p>
    <w:p w:rsidR="00861060" w:rsidRDefault="00861060" w:rsidP="00861060">
      <w:pPr>
        <w:rPr>
          <w:rFonts w:ascii="Cambria" w:hAnsi="Cambria"/>
          <w:color w:val="1F497D"/>
        </w:rPr>
      </w:pPr>
      <w:r w:rsidRPr="00861060">
        <w:rPr>
          <w:rFonts w:ascii="Cambria" w:hAnsi="Cambria"/>
          <w:color w:val="1F497D"/>
        </w:rPr>
        <w:t xml:space="preserve">DECISION: already built, is draft.  Motion to approve as built Elaine/Stephen -- Ab - 1, </w:t>
      </w:r>
      <w:proofErr w:type="spellStart"/>
      <w:r w:rsidRPr="00861060">
        <w:rPr>
          <w:rFonts w:ascii="Cambria" w:hAnsi="Cambria"/>
          <w:color w:val="1F497D"/>
        </w:rPr>
        <w:t>Neg</w:t>
      </w:r>
      <w:proofErr w:type="spellEnd"/>
      <w:r w:rsidRPr="00861060">
        <w:rPr>
          <w:rFonts w:ascii="Cambria" w:hAnsi="Cambria"/>
          <w:color w:val="1F497D"/>
        </w:rPr>
        <w:t xml:space="preserve"> - 0, </w:t>
      </w:r>
      <w:proofErr w:type="gramStart"/>
      <w:r w:rsidRPr="00861060">
        <w:rPr>
          <w:rFonts w:ascii="Cambria" w:hAnsi="Cambria"/>
          <w:color w:val="1F497D"/>
        </w:rPr>
        <w:t>Yes</w:t>
      </w:r>
      <w:proofErr w:type="gramEnd"/>
      <w:r w:rsidRPr="00861060">
        <w:rPr>
          <w:rFonts w:ascii="Cambria" w:hAnsi="Cambria"/>
          <w:color w:val="1F497D"/>
        </w:rPr>
        <w:t xml:space="preserve"> - 10</w:t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</w:p>
    <w:p w:rsidR="00861060" w:rsidRDefault="00861060" w:rsidP="00861060">
      <w:pPr>
        <w:rPr>
          <w:rFonts w:ascii="Cambria" w:hAnsi="Cambria"/>
          <w:color w:val="1F497D"/>
        </w:rPr>
      </w:pPr>
    </w:p>
    <w:p w:rsidR="00861060" w:rsidRDefault="00861060" w:rsidP="00861060">
      <w:pPr>
        <w:rPr>
          <w:rFonts w:ascii="Cambria" w:hAnsi="Cambria"/>
          <w:color w:val="1F497D"/>
        </w:rPr>
      </w:pPr>
      <w:r w:rsidRPr="00861060">
        <w:rPr>
          <w:rFonts w:ascii="Cambria" w:hAnsi="Cambria"/>
          <w:b/>
          <w:color w:val="1F497D"/>
        </w:rPr>
        <w:t>3292</w:t>
      </w:r>
      <w:r w:rsidRPr="00861060">
        <w:rPr>
          <w:rFonts w:ascii="Cambria" w:hAnsi="Cambria"/>
          <w:b/>
          <w:color w:val="1F497D"/>
        </w:rPr>
        <w:tab/>
      </w:r>
      <w:r w:rsidRPr="00861060">
        <w:rPr>
          <w:rFonts w:ascii="Cambria" w:hAnsi="Cambria"/>
          <w:color w:val="1F497D"/>
        </w:rPr>
        <w:t xml:space="preserve">Agree with change as suggested.  Change to 0…1.  Allow for note and for codeable concept.  </w:t>
      </w:r>
      <w:proofErr w:type="gramStart"/>
      <w:r w:rsidRPr="00861060">
        <w:rPr>
          <w:rFonts w:ascii="Cambria" w:hAnsi="Cambria"/>
          <w:color w:val="1F497D"/>
        </w:rPr>
        <w:t>Will need usage notes for how to use both fields to explain.</w:t>
      </w:r>
      <w:proofErr w:type="gramEnd"/>
      <w:r w:rsidRPr="00861060">
        <w:rPr>
          <w:rFonts w:ascii="Cambria" w:hAnsi="Cambria"/>
          <w:color w:val="1F497D"/>
        </w:rPr>
        <w:t xml:space="preserve">  Must have either a codeable concept or note. </w:t>
      </w:r>
      <w:proofErr w:type="gramStart"/>
      <w:r w:rsidRPr="00861060">
        <w:rPr>
          <w:rFonts w:ascii="Cambria" w:hAnsi="Cambria"/>
          <w:color w:val="1F497D"/>
        </w:rPr>
        <w:t>Constraint of at least one of the two.</w:t>
      </w:r>
      <w:proofErr w:type="gramEnd"/>
      <w:r w:rsidRPr="00861060">
        <w:rPr>
          <w:rFonts w:ascii="Cambria" w:hAnsi="Cambria"/>
          <w:color w:val="1F497D"/>
        </w:rPr>
        <w:t xml:space="preserve">  </w:t>
      </w:r>
      <w:proofErr w:type="gramStart"/>
      <w:r w:rsidRPr="00861060">
        <w:rPr>
          <w:rFonts w:ascii="Cambria" w:hAnsi="Cambria"/>
          <w:color w:val="1F497D"/>
        </w:rPr>
        <w:t>Can use the note for additional information.</w:t>
      </w:r>
      <w:proofErr w:type="gramEnd"/>
      <w:r w:rsidRPr="00861060">
        <w:rPr>
          <w:rFonts w:ascii="Cambria" w:hAnsi="Cambria"/>
          <w:color w:val="1F497D"/>
        </w:rPr>
        <w:t xml:space="preserve"> </w:t>
      </w:r>
    </w:p>
    <w:p w:rsidR="00861060" w:rsidRPr="00861060" w:rsidRDefault="00861060" w:rsidP="00861060">
      <w:pPr>
        <w:rPr>
          <w:rFonts w:ascii="Cambria" w:hAnsi="Cambria"/>
          <w:color w:val="1F497D"/>
        </w:rPr>
      </w:pP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</w:p>
    <w:p w:rsidR="00861060" w:rsidRDefault="00861060" w:rsidP="00861060">
      <w:pPr>
        <w:rPr>
          <w:rFonts w:ascii="Cambria" w:hAnsi="Cambria"/>
          <w:color w:val="1F497D"/>
        </w:rPr>
      </w:pPr>
      <w:r w:rsidRPr="00861060">
        <w:rPr>
          <w:rFonts w:ascii="Cambria" w:hAnsi="Cambria"/>
          <w:color w:val="1F497D"/>
        </w:rPr>
        <w:t>DEC</w:t>
      </w:r>
      <w:r>
        <w:rPr>
          <w:rFonts w:ascii="Cambria" w:hAnsi="Cambria"/>
          <w:color w:val="1F497D"/>
        </w:rPr>
        <w:t>ISION: Add code, change cardina</w:t>
      </w:r>
      <w:r w:rsidRPr="00861060">
        <w:rPr>
          <w:rFonts w:ascii="Cambria" w:hAnsi="Cambria"/>
          <w:color w:val="1F497D"/>
        </w:rPr>
        <w:t>lity of 0</w:t>
      </w:r>
      <w:proofErr w:type="gramStart"/>
      <w:r w:rsidRPr="00861060">
        <w:rPr>
          <w:rFonts w:ascii="Cambria" w:hAnsi="Cambria"/>
          <w:color w:val="1F497D"/>
        </w:rPr>
        <w:t>..1</w:t>
      </w:r>
      <w:proofErr w:type="gramEnd"/>
      <w:r w:rsidRPr="00861060">
        <w:rPr>
          <w:rFonts w:ascii="Cambria" w:hAnsi="Cambria"/>
          <w:color w:val="1F497D"/>
        </w:rPr>
        <w:t>, add constraint of at least a code or a note, add guidance on code vs. original text vs. both. And pro</w:t>
      </w:r>
      <w:r>
        <w:rPr>
          <w:rFonts w:ascii="Cambria" w:hAnsi="Cambria"/>
          <w:color w:val="1F497D"/>
        </w:rPr>
        <w:t>vide examples.  Lloyd/Elaine</w:t>
      </w:r>
      <w:r>
        <w:rPr>
          <w:rFonts w:ascii="Cambria" w:hAnsi="Cambria"/>
          <w:color w:val="1F497D"/>
        </w:rPr>
        <w:tab/>
      </w:r>
      <w:bookmarkStart w:id="0" w:name="_GoBack"/>
      <w:bookmarkEnd w:id="0"/>
      <w:r w:rsidRPr="00861060">
        <w:rPr>
          <w:rFonts w:ascii="Cambria" w:hAnsi="Cambria"/>
          <w:color w:val="1F497D"/>
        </w:rPr>
        <w:t xml:space="preserve">Ab - 1, </w:t>
      </w:r>
      <w:proofErr w:type="spellStart"/>
      <w:r w:rsidRPr="00861060">
        <w:rPr>
          <w:rFonts w:ascii="Cambria" w:hAnsi="Cambria"/>
          <w:color w:val="1F497D"/>
        </w:rPr>
        <w:t>Neg</w:t>
      </w:r>
      <w:proofErr w:type="spellEnd"/>
      <w:r w:rsidRPr="00861060">
        <w:rPr>
          <w:rFonts w:ascii="Cambria" w:hAnsi="Cambria"/>
          <w:color w:val="1F497D"/>
        </w:rPr>
        <w:t xml:space="preserve"> - 0, Yes - 10</w:t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  <w:r w:rsidRPr="00861060">
        <w:rPr>
          <w:rFonts w:ascii="Cambria" w:hAnsi="Cambria"/>
          <w:color w:val="1F497D"/>
        </w:rPr>
        <w:tab/>
      </w:r>
    </w:p>
    <w:p w:rsidR="00861060" w:rsidRDefault="00861060" w:rsidP="003C1D41">
      <w:pPr>
        <w:rPr>
          <w:rFonts w:ascii="Cambria" w:hAnsi="Cambria"/>
          <w:color w:val="1F497D"/>
        </w:rPr>
      </w:pPr>
    </w:p>
    <w:p w:rsidR="003C1D41" w:rsidRDefault="003C1D41" w:rsidP="003C1D41">
      <w:pPr>
        <w:rPr>
          <w:rFonts w:ascii="Cambria" w:hAnsi="Cambria"/>
          <w:color w:val="1F497D"/>
        </w:rPr>
      </w:pPr>
    </w:p>
    <w:p w:rsidR="003C1D41" w:rsidRDefault="003C1D41" w:rsidP="003C1D41">
      <w:pPr>
        <w:rPr>
          <w:rFonts w:ascii="Cambria" w:hAnsi="Cambria"/>
          <w:color w:val="1F497D"/>
        </w:rPr>
      </w:pPr>
      <w:r w:rsidRPr="008B7E58">
        <w:rPr>
          <w:rFonts w:ascii="Cambria" w:hAnsi="Cambria"/>
          <w:b/>
          <w:color w:val="1F497D"/>
        </w:rPr>
        <w:t>Clinical Assessment</w:t>
      </w:r>
      <w:r>
        <w:rPr>
          <w:rFonts w:ascii="Cambria" w:hAnsi="Cambria"/>
          <w:color w:val="1F497D"/>
        </w:rPr>
        <w:t xml:space="preserve"> – is different than an observation.  It is a clinical evaluation – data can come from history, diagnostic information and observation along with a conclusion.  It may be diagnostic or prognostic.  From a prospective view point is a planned set of data elements for a specific reason.  Routine exams are also assessments.  </w:t>
      </w:r>
      <w:r w:rsidR="008B7E58">
        <w:rPr>
          <w:rFonts w:ascii="Cambria" w:hAnsi="Cambria"/>
          <w:color w:val="1F497D"/>
        </w:rPr>
        <w:t xml:space="preserve">  There are a variety of patterns in the observation space.  Need to define patterns and boundaries.  </w:t>
      </w:r>
      <w:proofErr w:type="gramStart"/>
      <w:r w:rsidR="008B7E58">
        <w:rPr>
          <w:rFonts w:ascii="Cambria" w:hAnsi="Cambria"/>
          <w:color w:val="1F497D"/>
        </w:rPr>
        <w:t>FHIR group currently considering these issues.</w:t>
      </w:r>
      <w:proofErr w:type="gramEnd"/>
      <w:r w:rsidR="008B7E58">
        <w:rPr>
          <w:rFonts w:ascii="Cambria" w:hAnsi="Cambria"/>
          <w:color w:val="1F497D"/>
        </w:rPr>
        <w:t xml:space="preserve">  The current Risk Assessment if more predictive – prognosis </w:t>
      </w:r>
      <w:proofErr w:type="gramStart"/>
      <w:r w:rsidR="008B7E58">
        <w:rPr>
          <w:rFonts w:ascii="Cambria" w:hAnsi="Cambria"/>
          <w:color w:val="1F497D"/>
        </w:rPr>
        <w:t>and  risk</w:t>
      </w:r>
      <w:proofErr w:type="gramEnd"/>
      <w:r w:rsidR="008B7E58">
        <w:rPr>
          <w:rFonts w:ascii="Cambria" w:hAnsi="Cambria"/>
          <w:color w:val="1F497D"/>
        </w:rPr>
        <w:t xml:space="preserve"> assessment (oncology, environmental</w:t>
      </w:r>
      <w:r w:rsidR="00866804">
        <w:rPr>
          <w:rFonts w:ascii="Cambria" w:hAnsi="Cambria"/>
          <w:color w:val="1F497D"/>
        </w:rPr>
        <w:t>, occupational health and safety and social risk</w:t>
      </w:r>
      <w:r w:rsidR="008B7E58">
        <w:rPr>
          <w:rFonts w:ascii="Cambria" w:hAnsi="Cambria"/>
          <w:color w:val="1F497D"/>
        </w:rPr>
        <w:t xml:space="preserve">).  </w:t>
      </w:r>
      <w:r w:rsidR="00866804">
        <w:rPr>
          <w:rFonts w:ascii="Cambria" w:hAnsi="Cambria"/>
          <w:color w:val="1F497D"/>
        </w:rPr>
        <w:t xml:space="preserve">  These risks must be considered for a risk assessment function.</w:t>
      </w:r>
      <w:r w:rsidR="00CE14C0">
        <w:rPr>
          <w:rFonts w:ascii="Cambria" w:hAnsi="Cambria"/>
          <w:color w:val="1F497D"/>
        </w:rPr>
        <w:t xml:space="preserve">  </w:t>
      </w:r>
    </w:p>
    <w:p w:rsidR="00866804" w:rsidRDefault="00866804" w:rsidP="003C1D41">
      <w:pPr>
        <w:rPr>
          <w:rFonts w:ascii="Cambria" w:hAnsi="Cambria"/>
          <w:color w:val="1F497D"/>
        </w:rPr>
      </w:pPr>
    </w:p>
    <w:p w:rsidR="00866804" w:rsidRPr="003C1D41" w:rsidRDefault="00866804" w:rsidP="003C1D41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Need a quarter in Chicago – Thursday Q4 or Wednesday lunch.  </w:t>
      </w:r>
    </w:p>
    <w:p w:rsidR="00F04CC1" w:rsidRDefault="00F04CC1" w:rsidP="000A518B">
      <w:pPr>
        <w:rPr>
          <w:rFonts w:ascii="Cambria" w:hAnsi="Cambria"/>
          <w:color w:val="1F497D"/>
        </w:rPr>
      </w:pPr>
    </w:p>
    <w:p w:rsidR="00F04CC1" w:rsidRDefault="00F04CC1" w:rsidP="000A518B">
      <w:pPr>
        <w:rPr>
          <w:rFonts w:ascii="Cambria" w:hAnsi="Cambria"/>
          <w:color w:val="1F497D"/>
        </w:rPr>
      </w:pPr>
      <w:proofErr w:type="gramStart"/>
      <w:r w:rsidRPr="00F04CC1">
        <w:rPr>
          <w:rFonts w:ascii="Cambria" w:hAnsi="Cambria"/>
          <w:b/>
          <w:color w:val="1F497D"/>
          <w:u w:val="single"/>
        </w:rPr>
        <w:t>C-CDA on FHIR</w:t>
      </w:r>
      <w:r>
        <w:rPr>
          <w:rFonts w:ascii="Cambria" w:hAnsi="Cambria"/>
          <w:color w:val="1F497D"/>
        </w:rPr>
        <w:t xml:space="preserve"> – looking for profile instances that reflect specific entry templates in C-CDA.</w:t>
      </w:r>
      <w:proofErr w:type="gramEnd"/>
    </w:p>
    <w:p w:rsidR="00F04CC1" w:rsidRDefault="00EB59BA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Table below from </w:t>
      </w:r>
      <w:proofErr w:type="gramStart"/>
      <w:r>
        <w:rPr>
          <w:rFonts w:ascii="Cambria" w:hAnsi="Cambria"/>
          <w:color w:val="1F497D"/>
        </w:rPr>
        <w:t xml:space="preserve">the </w:t>
      </w:r>
      <w:r w:rsidR="00A71458">
        <w:rPr>
          <w:rFonts w:ascii="Cambria" w:hAnsi="Cambria"/>
          <w:color w:val="1F497D"/>
        </w:rPr>
        <w:t xml:space="preserve"> FHIR</w:t>
      </w:r>
      <w:proofErr w:type="gramEnd"/>
      <w:r w:rsidR="00A71458">
        <w:rPr>
          <w:rFonts w:ascii="Cambria" w:hAnsi="Cambria"/>
          <w:color w:val="1F497D"/>
        </w:rPr>
        <w:t xml:space="preserve"> wiki under Ballot Prep link:</w:t>
      </w:r>
      <w:r>
        <w:rPr>
          <w:rFonts w:ascii="Cambria" w:hAnsi="Cambria"/>
          <w:color w:val="1F497D"/>
        </w:rPr>
        <w:t xml:space="preserve"> shows C-CDA entry level templates mapped to FHIR resource.  </w:t>
      </w:r>
    </w:p>
    <w:p w:rsidR="0035756E" w:rsidRDefault="0035756E" w:rsidP="000A518B">
      <w:pPr>
        <w:rPr>
          <w:rFonts w:ascii="Cambria" w:hAnsi="Cambria"/>
          <w:color w:val="1F497D"/>
        </w:rPr>
      </w:pPr>
    </w:p>
    <w:p w:rsidR="0035756E" w:rsidRDefault="0035756E" w:rsidP="000A518B">
      <w:p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FMG has noted that WG have a lot on their plates.  </w:t>
      </w:r>
    </w:p>
    <w:p w:rsidR="00A71458" w:rsidRDefault="00A71458" w:rsidP="000A518B">
      <w:pPr>
        <w:rPr>
          <w:rFonts w:ascii="Cambria" w:hAnsi="Cambria"/>
          <w:color w:val="1F497D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5937"/>
        <w:gridCol w:w="2200"/>
      </w:tblGrid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 Problem/Concern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AllergyIntolerance</w:t>
            </w:r>
            <w:proofErr w:type="spellEnd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, List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 History Organizer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FamilyHistory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Instruction(s)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Procedure?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Act/Planned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Encounter/Planned Encounter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Observation/Planned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Procedure/Planned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Substance Administration/Planned Medication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Plan of Care Activity Supply/Planned Supply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CarePlan</w:t>
            </w:r>
            <w:proofErr w:type="spellEnd"/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Problem Concern Act (Condition)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Concern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 Activity Procedure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Procedure</w:t>
            </w:r>
          </w:p>
        </w:tc>
      </w:tr>
      <w:tr w:rsidR="00A71458" w:rsidRPr="00A71458" w:rsidTr="00A714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Patient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A71458">
              <w:rPr>
                <w:rFonts w:ascii="Arial" w:eastAsia="Times New Roman" w:hAnsi="Arial" w:cs="Arial"/>
                <w:sz w:val="22"/>
                <w:szCs w:val="22"/>
              </w:rPr>
              <w:t>Reaction Observation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71458" w:rsidRPr="00A71458" w:rsidRDefault="00A71458" w:rsidP="00A7145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A71458">
              <w:rPr>
                <w:rFonts w:ascii="Arial" w:eastAsia="Times New Roman" w:hAnsi="Arial" w:cs="Arial"/>
                <w:sz w:val="22"/>
                <w:szCs w:val="22"/>
              </w:rPr>
              <w:t>AdverseReaction</w:t>
            </w:r>
            <w:proofErr w:type="spellEnd"/>
          </w:p>
        </w:tc>
      </w:tr>
    </w:tbl>
    <w:p w:rsidR="00A71458" w:rsidRDefault="00A71458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</w:p>
    <w:p w:rsidR="000A518B" w:rsidRDefault="000A518B" w:rsidP="000A518B">
      <w:pPr>
        <w:rPr>
          <w:rFonts w:ascii="Cambria" w:hAnsi="Cambria"/>
          <w:color w:val="1F497D"/>
        </w:rPr>
      </w:pPr>
      <w:r w:rsidRPr="000A518B">
        <w:rPr>
          <w:rFonts w:ascii="Cambria" w:hAnsi="Cambria"/>
          <w:b/>
          <w:color w:val="1F497D"/>
          <w:u w:val="single"/>
        </w:rPr>
        <w:t>Referral Resources</w:t>
      </w:r>
      <w:r>
        <w:rPr>
          <w:rFonts w:ascii="Cambria" w:hAnsi="Cambria"/>
          <w:color w:val="1F497D"/>
        </w:rPr>
        <w:t xml:space="preserve">: </w:t>
      </w:r>
      <w:r w:rsidR="00E85ABD">
        <w:rPr>
          <w:rFonts w:ascii="Cambria" w:hAnsi="Cambria"/>
          <w:color w:val="1F497D"/>
        </w:rPr>
        <w:t xml:space="preserve"> update from Stephen Chu</w:t>
      </w:r>
    </w:p>
    <w:p w:rsidR="00191631" w:rsidRDefault="00191631" w:rsidP="000A518B">
      <w:pPr>
        <w:rPr>
          <w:rFonts w:ascii="Cambria" w:hAnsi="Cambria"/>
          <w:color w:val="1F497D"/>
        </w:rPr>
      </w:pPr>
    </w:p>
    <w:p w:rsidR="00512DD9" w:rsidRDefault="00512DD9" w:rsidP="000A518B">
      <w:pPr>
        <w:rPr>
          <w:rFonts w:ascii="Cambria" w:hAnsi="Cambria"/>
          <w:color w:val="1F497D"/>
        </w:rPr>
      </w:pPr>
    </w:p>
    <w:p w:rsidR="00FB6A73" w:rsidRDefault="00FB6A73" w:rsidP="00FB6A73">
      <w:r w:rsidRPr="00F04CC1">
        <w:rPr>
          <w:rFonts w:ascii="Cambria" w:hAnsi="Cambria"/>
          <w:b/>
          <w:color w:val="1F497D"/>
          <w:u w:val="single"/>
        </w:rPr>
        <w:t>Clinical Assessment</w:t>
      </w:r>
      <w:r>
        <w:rPr>
          <w:rFonts w:ascii="Cambria" w:hAnsi="Cambria"/>
          <w:color w:val="1F497D"/>
        </w:rPr>
        <w:t xml:space="preserve">:  </w:t>
      </w:r>
      <w:hyperlink r:id="rId11" w:history="1">
        <w:r w:rsidR="00E85ABD">
          <w:rPr>
            <w:rStyle w:val="Hyperlink"/>
          </w:rPr>
          <w:t>http://fhirblog.com/2014/07/30/fhir-clinical-scenarios-nutrition-assessment/</w:t>
        </w:r>
      </w:hyperlink>
    </w:p>
    <w:p w:rsidR="008C625B" w:rsidRDefault="008C625B" w:rsidP="00FB6A73"/>
    <w:p w:rsidR="000A518B" w:rsidRPr="00011E9C" w:rsidRDefault="000A518B" w:rsidP="00011E9C">
      <w:pPr>
        <w:rPr>
          <w:rFonts w:ascii="Cambria" w:hAnsi="Cambria"/>
          <w:color w:val="1F497D"/>
        </w:rPr>
      </w:pPr>
    </w:p>
    <w:p w:rsidR="000F20EB" w:rsidRDefault="000F20EB" w:rsidP="00A34AC1">
      <w:pPr>
        <w:rPr>
          <w:color w:val="1F497D"/>
        </w:rPr>
      </w:pPr>
    </w:p>
    <w:p w:rsidR="009023C1" w:rsidRPr="006B48E8" w:rsidRDefault="009023C1" w:rsidP="009023C1">
      <w:pPr>
        <w:rPr>
          <w:rFonts w:ascii="Calibri" w:hAnsi="Calibri"/>
          <w:b/>
          <w:color w:val="1F497D"/>
        </w:rPr>
      </w:pPr>
      <w:proofErr w:type="spellStart"/>
      <w:r w:rsidRPr="006B48E8">
        <w:rPr>
          <w:rFonts w:ascii="Calibri" w:hAnsi="Calibri"/>
          <w:b/>
          <w:color w:val="1F497D"/>
        </w:rPr>
        <w:t>Conne</w:t>
      </w:r>
      <w:r>
        <w:rPr>
          <w:rFonts w:ascii="Calibri" w:hAnsi="Calibri"/>
          <w:b/>
          <w:color w:val="1F497D"/>
        </w:rPr>
        <w:t>c</w:t>
      </w:r>
      <w:r w:rsidRPr="006B48E8">
        <w:rPr>
          <w:rFonts w:ascii="Calibri" w:hAnsi="Calibri"/>
          <w:b/>
          <w:color w:val="1F497D"/>
        </w:rPr>
        <w:t>tathon</w:t>
      </w:r>
      <w:proofErr w:type="spellEnd"/>
      <w:r w:rsidRPr="006B48E8">
        <w:rPr>
          <w:rFonts w:ascii="Calibri" w:hAnsi="Calibri"/>
          <w:b/>
          <w:color w:val="1F497D"/>
        </w:rPr>
        <w:t xml:space="preserve"> Logistics and Details</w:t>
      </w:r>
      <w:r>
        <w:rPr>
          <w:rFonts w:ascii="Calibri" w:hAnsi="Calibri"/>
          <w:b/>
          <w:color w:val="1F497D"/>
        </w:rPr>
        <w:t xml:space="preserve"> as of </w:t>
      </w:r>
      <w:r w:rsidR="006E6739">
        <w:rPr>
          <w:rFonts w:ascii="Calibri" w:hAnsi="Calibri"/>
          <w:b/>
          <w:color w:val="1F497D"/>
        </w:rPr>
        <w:t>August 7</w:t>
      </w:r>
      <w:r>
        <w:rPr>
          <w:rFonts w:ascii="Calibri" w:hAnsi="Calibri"/>
          <w:b/>
          <w:color w:val="1F497D"/>
        </w:rPr>
        <w:t>, 2014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of questions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Entry of information over 30 minutes/45 minutes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Probably will not be able to handle payment information. 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Identify key points – is this a comfortable volume, what needs to be represented?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Draft the Flow of Day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Clinicians enter data from use cases (10-15 clinicians)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Enter the same data for each use case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key data entry concepts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Have optional data entry concepts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Review and Evaluate what everyone is entered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will be entered into a fake application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the event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Define success criteria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Test the data representation using the FHIR standard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Discrete data vs. text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User variability in data representation 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this promote data interoperability?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Evaluation criteria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Agenda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Set-up and orientation (9 AM) (30 Minutes)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entry – 2 hours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Data Review – 1 hour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Lunch with informal discussion (12:30)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Discuss – 1.5 hours (1:45)</w:t>
      </w:r>
    </w:p>
    <w:p w:rsidR="009023C1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Event evaluation – 30 minutes (End – 4 PM)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FHIR team will take use cases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Tool will provide the options detailed in the underlying resource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Can capture data as discrete elements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FHIR team needs storyboards by end of June.</w:t>
      </w:r>
    </w:p>
    <w:p w:rsidR="009023C1" w:rsidRDefault="009023C1" w:rsidP="009023C1">
      <w:pPr>
        <w:pStyle w:val="ListParagraph"/>
        <w:numPr>
          <w:ilvl w:val="0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Participants and recruitment – Friday September 19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Approach FHIR, EC, EHR and PC WG participants.  Plan on 10-15 by invitation.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Approach physician and nursing group.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Need to familiar with HL7.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No registration, no fee.  </w:t>
      </w:r>
    </w:p>
    <w:p w:rsidR="009023C1" w:rsidRDefault="009023C1" w:rsidP="009023C1">
      <w:pPr>
        <w:pStyle w:val="ListParagraph"/>
        <w:numPr>
          <w:ilvl w:val="1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will put together a guest list with a calling tree.  Russ will contact.</w:t>
      </w:r>
    </w:p>
    <w:p w:rsidR="009023C1" w:rsidRPr="00E07E20" w:rsidRDefault="009023C1" w:rsidP="009023C1">
      <w:pPr>
        <w:pStyle w:val="ListParagraph"/>
        <w:numPr>
          <w:ilvl w:val="2"/>
          <w:numId w:val="28"/>
        </w:numPr>
        <w:rPr>
          <w:rFonts w:ascii="Calibri" w:hAnsi="Calibri"/>
          <w:b/>
          <w:color w:val="1F497D"/>
        </w:rPr>
      </w:pPr>
      <w:r w:rsidRPr="00E07E20">
        <w:rPr>
          <w:rFonts w:ascii="Calibri" w:hAnsi="Calibri"/>
          <w:b/>
          <w:color w:val="1F497D"/>
        </w:rPr>
        <w:t xml:space="preserve">Confirmed </w:t>
      </w:r>
      <w:r w:rsidR="002B16D4">
        <w:rPr>
          <w:rFonts w:ascii="Calibri" w:hAnsi="Calibri"/>
          <w:b/>
          <w:color w:val="1F497D"/>
        </w:rPr>
        <w:t>Attendees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Laura Herrmann Langford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Stephen Chu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Elaine Ayres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Emma Jones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Lindsey Hoggle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Marc </w:t>
      </w:r>
      <w:proofErr w:type="spellStart"/>
      <w:r>
        <w:rPr>
          <w:rFonts w:ascii="Calibri" w:hAnsi="Calibri"/>
          <w:color w:val="1F497D"/>
        </w:rPr>
        <w:t>Janczewski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Rob </w:t>
      </w:r>
      <w:proofErr w:type="spellStart"/>
      <w:r>
        <w:rPr>
          <w:rFonts w:ascii="Calibri" w:hAnsi="Calibri"/>
          <w:color w:val="1F497D"/>
        </w:rPr>
        <w:t>Hausam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Pat Van Dyke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Russ Leftwich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Julia </w:t>
      </w:r>
      <w:r w:rsidR="002B16D4">
        <w:rPr>
          <w:rFonts w:ascii="Calibri" w:hAnsi="Calibri"/>
          <w:color w:val="1F497D"/>
        </w:rPr>
        <w:t>Skap</w:t>
      </w:r>
      <w:r>
        <w:rPr>
          <w:rFonts w:ascii="Calibri" w:hAnsi="Calibri"/>
          <w:color w:val="1F497D"/>
        </w:rPr>
        <w:t>ik</w:t>
      </w:r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Jim </w:t>
      </w:r>
      <w:proofErr w:type="spellStart"/>
      <w:r>
        <w:rPr>
          <w:rFonts w:ascii="Calibri" w:hAnsi="Calibri"/>
          <w:color w:val="1F497D"/>
        </w:rPr>
        <w:t>McClay</w:t>
      </w:r>
      <w:proofErr w:type="spellEnd"/>
    </w:p>
    <w:p w:rsidR="009023C1" w:rsidRDefault="009023C1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Chuck Jaffe</w:t>
      </w:r>
    </w:p>
    <w:p w:rsidR="002B16D4" w:rsidRDefault="002B16D4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Kevin Coonan</w:t>
      </w:r>
    </w:p>
    <w:p w:rsidR="002B16D4" w:rsidRDefault="002B16D4" w:rsidP="009023C1">
      <w:pPr>
        <w:pStyle w:val="ListParagraph"/>
        <w:numPr>
          <w:ilvl w:val="3"/>
          <w:numId w:val="28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Gaye Dolin</w:t>
      </w:r>
    </w:p>
    <w:p w:rsidR="009023C1" w:rsidRDefault="009023C1" w:rsidP="009023C1">
      <w:pPr>
        <w:rPr>
          <w:rFonts w:ascii="Calibri" w:hAnsi="Calibri"/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0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F0D"/>
    <w:multiLevelType w:val="hybridMultilevel"/>
    <w:tmpl w:val="A3047BDA"/>
    <w:lvl w:ilvl="0" w:tplc="70CA86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81876"/>
    <w:multiLevelType w:val="hybridMultilevel"/>
    <w:tmpl w:val="3A4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F7E7C"/>
    <w:multiLevelType w:val="hybridMultilevel"/>
    <w:tmpl w:val="E7C2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E04AB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70A63"/>
    <w:multiLevelType w:val="multilevel"/>
    <w:tmpl w:val="662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16005C"/>
    <w:multiLevelType w:val="hybridMultilevel"/>
    <w:tmpl w:val="BB7A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35A21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33C5"/>
    <w:multiLevelType w:val="hybridMultilevel"/>
    <w:tmpl w:val="A66A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91FCD"/>
    <w:multiLevelType w:val="hybridMultilevel"/>
    <w:tmpl w:val="7526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D0D1F"/>
    <w:multiLevelType w:val="hybridMultilevel"/>
    <w:tmpl w:val="FC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7"/>
  </w:num>
  <w:num w:numId="6">
    <w:abstractNumId w:val="5"/>
  </w:num>
  <w:num w:numId="7">
    <w:abstractNumId w:val="2"/>
  </w:num>
  <w:num w:numId="8">
    <w:abstractNumId w:val="1"/>
  </w:num>
  <w:num w:numId="9">
    <w:abstractNumId w:val="16"/>
  </w:num>
  <w:num w:numId="10">
    <w:abstractNumId w:val="25"/>
  </w:num>
  <w:num w:numId="11">
    <w:abstractNumId w:val="9"/>
  </w:num>
  <w:num w:numId="12">
    <w:abstractNumId w:val="10"/>
  </w:num>
  <w:num w:numId="13">
    <w:abstractNumId w:val="33"/>
  </w:num>
  <w:num w:numId="14">
    <w:abstractNumId w:val="27"/>
  </w:num>
  <w:num w:numId="15">
    <w:abstractNumId w:val="14"/>
  </w:num>
  <w:num w:numId="16">
    <w:abstractNumId w:val="2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1"/>
  </w:num>
  <w:num w:numId="20">
    <w:abstractNumId w:val="28"/>
  </w:num>
  <w:num w:numId="21">
    <w:abstractNumId w:val="15"/>
  </w:num>
  <w:num w:numId="22">
    <w:abstractNumId w:val="30"/>
  </w:num>
  <w:num w:numId="23">
    <w:abstractNumId w:val="3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32"/>
  </w:num>
  <w:num w:numId="30">
    <w:abstractNumId w:val="19"/>
  </w:num>
  <w:num w:numId="31">
    <w:abstractNumId w:val="20"/>
  </w:num>
  <w:num w:numId="32">
    <w:abstractNumId w:val="11"/>
  </w:num>
  <w:num w:numId="33">
    <w:abstractNumId w:val="22"/>
  </w:num>
  <w:num w:numId="34">
    <w:abstractNumId w:val="34"/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1"/>
  </w:num>
  <w:num w:numId="39">
    <w:abstractNumId w:val="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11E9C"/>
    <w:rsid w:val="00012800"/>
    <w:rsid w:val="00012F96"/>
    <w:rsid w:val="00027886"/>
    <w:rsid w:val="0003496E"/>
    <w:rsid w:val="00085BDA"/>
    <w:rsid w:val="00085DCD"/>
    <w:rsid w:val="000929BD"/>
    <w:rsid w:val="0009554C"/>
    <w:rsid w:val="00096E01"/>
    <w:rsid w:val="000A4CBB"/>
    <w:rsid w:val="000A518B"/>
    <w:rsid w:val="000A7FEE"/>
    <w:rsid w:val="000C6BBD"/>
    <w:rsid w:val="000E3D0F"/>
    <w:rsid w:val="000E7745"/>
    <w:rsid w:val="000F0115"/>
    <w:rsid w:val="000F072A"/>
    <w:rsid w:val="000F20EB"/>
    <w:rsid w:val="000F3481"/>
    <w:rsid w:val="000F6BEF"/>
    <w:rsid w:val="00100C08"/>
    <w:rsid w:val="00100CF3"/>
    <w:rsid w:val="00114A3F"/>
    <w:rsid w:val="00125BA4"/>
    <w:rsid w:val="00134BB8"/>
    <w:rsid w:val="00137C03"/>
    <w:rsid w:val="0015489E"/>
    <w:rsid w:val="0017227B"/>
    <w:rsid w:val="00191631"/>
    <w:rsid w:val="00197615"/>
    <w:rsid w:val="001B4C78"/>
    <w:rsid w:val="001C502F"/>
    <w:rsid w:val="001D5960"/>
    <w:rsid w:val="001E4548"/>
    <w:rsid w:val="001E7EBD"/>
    <w:rsid w:val="001F028C"/>
    <w:rsid w:val="00216DEE"/>
    <w:rsid w:val="002303BC"/>
    <w:rsid w:val="002661FF"/>
    <w:rsid w:val="00275719"/>
    <w:rsid w:val="002762B1"/>
    <w:rsid w:val="00294799"/>
    <w:rsid w:val="002B16D4"/>
    <w:rsid w:val="002B192F"/>
    <w:rsid w:val="002B5409"/>
    <w:rsid w:val="002B563A"/>
    <w:rsid w:val="002C1596"/>
    <w:rsid w:val="002D3B2D"/>
    <w:rsid w:val="002D515C"/>
    <w:rsid w:val="002D650F"/>
    <w:rsid w:val="002E0EAF"/>
    <w:rsid w:val="00300CF5"/>
    <w:rsid w:val="00303EF6"/>
    <w:rsid w:val="003256B1"/>
    <w:rsid w:val="00327812"/>
    <w:rsid w:val="003423E7"/>
    <w:rsid w:val="00351A4D"/>
    <w:rsid w:val="00352693"/>
    <w:rsid w:val="00357535"/>
    <w:rsid w:val="0035756E"/>
    <w:rsid w:val="0036706E"/>
    <w:rsid w:val="00376891"/>
    <w:rsid w:val="00385EF5"/>
    <w:rsid w:val="003A071F"/>
    <w:rsid w:val="003B1C3E"/>
    <w:rsid w:val="003B5D4E"/>
    <w:rsid w:val="003C1D41"/>
    <w:rsid w:val="003E068A"/>
    <w:rsid w:val="003F00B1"/>
    <w:rsid w:val="004133EA"/>
    <w:rsid w:val="00422442"/>
    <w:rsid w:val="00423C57"/>
    <w:rsid w:val="004659F6"/>
    <w:rsid w:val="0047315B"/>
    <w:rsid w:val="004B3C0C"/>
    <w:rsid w:val="004C22E3"/>
    <w:rsid w:val="004C2C13"/>
    <w:rsid w:val="004C2C2D"/>
    <w:rsid w:val="004D00A5"/>
    <w:rsid w:val="004D0EC9"/>
    <w:rsid w:val="004D33CC"/>
    <w:rsid w:val="004F491B"/>
    <w:rsid w:val="00501C32"/>
    <w:rsid w:val="00503FEB"/>
    <w:rsid w:val="00506EF1"/>
    <w:rsid w:val="005119D9"/>
    <w:rsid w:val="00512DD9"/>
    <w:rsid w:val="0051546D"/>
    <w:rsid w:val="00553A79"/>
    <w:rsid w:val="00566CF4"/>
    <w:rsid w:val="0058603F"/>
    <w:rsid w:val="0059064A"/>
    <w:rsid w:val="00592C89"/>
    <w:rsid w:val="005A5F0A"/>
    <w:rsid w:val="005A6678"/>
    <w:rsid w:val="005B4314"/>
    <w:rsid w:val="005C1BF9"/>
    <w:rsid w:val="005C2D24"/>
    <w:rsid w:val="005D1571"/>
    <w:rsid w:val="005D2312"/>
    <w:rsid w:val="005F37CE"/>
    <w:rsid w:val="005F5701"/>
    <w:rsid w:val="0062478A"/>
    <w:rsid w:val="00627946"/>
    <w:rsid w:val="00647628"/>
    <w:rsid w:val="00664CAA"/>
    <w:rsid w:val="006668C9"/>
    <w:rsid w:val="006839E7"/>
    <w:rsid w:val="00692D27"/>
    <w:rsid w:val="006933A3"/>
    <w:rsid w:val="0069685F"/>
    <w:rsid w:val="00696D6E"/>
    <w:rsid w:val="006B48E8"/>
    <w:rsid w:val="006E6739"/>
    <w:rsid w:val="006F4BBF"/>
    <w:rsid w:val="00720103"/>
    <w:rsid w:val="0072482C"/>
    <w:rsid w:val="007312EC"/>
    <w:rsid w:val="00736543"/>
    <w:rsid w:val="00736970"/>
    <w:rsid w:val="007418F7"/>
    <w:rsid w:val="00744C5E"/>
    <w:rsid w:val="007633A9"/>
    <w:rsid w:val="0077588B"/>
    <w:rsid w:val="00776BA3"/>
    <w:rsid w:val="007803E9"/>
    <w:rsid w:val="00794AB3"/>
    <w:rsid w:val="00795490"/>
    <w:rsid w:val="007A3D68"/>
    <w:rsid w:val="007A403B"/>
    <w:rsid w:val="007B21A3"/>
    <w:rsid w:val="007B4503"/>
    <w:rsid w:val="007B5B83"/>
    <w:rsid w:val="007C3279"/>
    <w:rsid w:val="007E2537"/>
    <w:rsid w:val="00810AF7"/>
    <w:rsid w:val="0081351E"/>
    <w:rsid w:val="00822E42"/>
    <w:rsid w:val="00850FD1"/>
    <w:rsid w:val="00852EA3"/>
    <w:rsid w:val="00853C76"/>
    <w:rsid w:val="00861060"/>
    <w:rsid w:val="00866804"/>
    <w:rsid w:val="00875425"/>
    <w:rsid w:val="008778FD"/>
    <w:rsid w:val="00886F12"/>
    <w:rsid w:val="00891357"/>
    <w:rsid w:val="008B7E58"/>
    <w:rsid w:val="008C3779"/>
    <w:rsid w:val="008C3A58"/>
    <w:rsid w:val="008C625B"/>
    <w:rsid w:val="008D5BEF"/>
    <w:rsid w:val="008E027E"/>
    <w:rsid w:val="009023C1"/>
    <w:rsid w:val="009073EA"/>
    <w:rsid w:val="0091152C"/>
    <w:rsid w:val="00913DA3"/>
    <w:rsid w:val="0091492A"/>
    <w:rsid w:val="00941003"/>
    <w:rsid w:val="0095140F"/>
    <w:rsid w:val="009640A2"/>
    <w:rsid w:val="00974700"/>
    <w:rsid w:val="0097499F"/>
    <w:rsid w:val="00976D01"/>
    <w:rsid w:val="009822A8"/>
    <w:rsid w:val="00983A53"/>
    <w:rsid w:val="009A51DC"/>
    <w:rsid w:val="009B2B81"/>
    <w:rsid w:val="009B5220"/>
    <w:rsid w:val="009C0BE1"/>
    <w:rsid w:val="009C3A39"/>
    <w:rsid w:val="009D0428"/>
    <w:rsid w:val="009D0446"/>
    <w:rsid w:val="009D7DCF"/>
    <w:rsid w:val="009E219E"/>
    <w:rsid w:val="00A0134F"/>
    <w:rsid w:val="00A01B52"/>
    <w:rsid w:val="00A1083F"/>
    <w:rsid w:val="00A224A8"/>
    <w:rsid w:val="00A226AB"/>
    <w:rsid w:val="00A256DA"/>
    <w:rsid w:val="00A34AC1"/>
    <w:rsid w:val="00A34CCD"/>
    <w:rsid w:val="00A509FE"/>
    <w:rsid w:val="00A51633"/>
    <w:rsid w:val="00A56C04"/>
    <w:rsid w:val="00A65375"/>
    <w:rsid w:val="00A6695F"/>
    <w:rsid w:val="00A677F0"/>
    <w:rsid w:val="00A71458"/>
    <w:rsid w:val="00A737A9"/>
    <w:rsid w:val="00A7532E"/>
    <w:rsid w:val="00A94F59"/>
    <w:rsid w:val="00AA48F4"/>
    <w:rsid w:val="00AA7432"/>
    <w:rsid w:val="00AB1544"/>
    <w:rsid w:val="00AB555C"/>
    <w:rsid w:val="00AD65BB"/>
    <w:rsid w:val="00AD6999"/>
    <w:rsid w:val="00AD6CFB"/>
    <w:rsid w:val="00AE3099"/>
    <w:rsid w:val="00AE3CDB"/>
    <w:rsid w:val="00AF49FB"/>
    <w:rsid w:val="00AF76CF"/>
    <w:rsid w:val="00B05A18"/>
    <w:rsid w:val="00B50DFE"/>
    <w:rsid w:val="00B706A5"/>
    <w:rsid w:val="00B877CB"/>
    <w:rsid w:val="00B928CC"/>
    <w:rsid w:val="00BA2D29"/>
    <w:rsid w:val="00BA3680"/>
    <w:rsid w:val="00BA5D27"/>
    <w:rsid w:val="00BC0568"/>
    <w:rsid w:val="00BE7325"/>
    <w:rsid w:val="00C04DD9"/>
    <w:rsid w:val="00C24F23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B1890"/>
    <w:rsid w:val="00CE14C0"/>
    <w:rsid w:val="00CF1798"/>
    <w:rsid w:val="00CF21E0"/>
    <w:rsid w:val="00CF6230"/>
    <w:rsid w:val="00D16D31"/>
    <w:rsid w:val="00D24FD4"/>
    <w:rsid w:val="00D26CB4"/>
    <w:rsid w:val="00D272F0"/>
    <w:rsid w:val="00D378BF"/>
    <w:rsid w:val="00D61649"/>
    <w:rsid w:val="00D654C9"/>
    <w:rsid w:val="00D67BA7"/>
    <w:rsid w:val="00D711CB"/>
    <w:rsid w:val="00D76985"/>
    <w:rsid w:val="00D8384D"/>
    <w:rsid w:val="00D83891"/>
    <w:rsid w:val="00D922CF"/>
    <w:rsid w:val="00DA45AC"/>
    <w:rsid w:val="00DA76A7"/>
    <w:rsid w:val="00DB46FC"/>
    <w:rsid w:val="00DC4D30"/>
    <w:rsid w:val="00DE336B"/>
    <w:rsid w:val="00E07E20"/>
    <w:rsid w:val="00E07E33"/>
    <w:rsid w:val="00E2144D"/>
    <w:rsid w:val="00E27361"/>
    <w:rsid w:val="00E30F44"/>
    <w:rsid w:val="00E319F9"/>
    <w:rsid w:val="00E404C8"/>
    <w:rsid w:val="00E63838"/>
    <w:rsid w:val="00E84429"/>
    <w:rsid w:val="00E85ABD"/>
    <w:rsid w:val="00E92CEE"/>
    <w:rsid w:val="00EB59BA"/>
    <w:rsid w:val="00ED2B6F"/>
    <w:rsid w:val="00EE7D7B"/>
    <w:rsid w:val="00F04CC1"/>
    <w:rsid w:val="00F06C35"/>
    <w:rsid w:val="00F32133"/>
    <w:rsid w:val="00F41B0E"/>
    <w:rsid w:val="00F475EA"/>
    <w:rsid w:val="00F50ED8"/>
    <w:rsid w:val="00F66BE7"/>
    <w:rsid w:val="00FB2E4D"/>
    <w:rsid w:val="00FB44EF"/>
    <w:rsid w:val="00FB6A73"/>
    <w:rsid w:val="00FB6EA8"/>
    <w:rsid w:val="00FD5A5A"/>
    <w:rsid w:val="00FD5B55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hirblog.com/2014/07/30/fhir-clinical-scenarios-nutrition-assess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hirblog.com/2014/08/08/creating-examples-in-fhi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hirblog.com/2014/07/26/clinical-scenarios-in-fhir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C769-5549-426C-9A95-0CC69DB1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5</Pages>
  <Words>1045</Words>
  <Characters>7004</Characters>
  <Application>Microsoft Office Word</Application>
  <DocSecurity>0</DocSecurity>
  <Lines>269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2014-08-07T19:27:00Z</dcterms:created>
  <dcterms:modified xsi:type="dcterms:W3CDTF">2014-08-13T22:49:00Z</dcterms:modified>
</cp:coreProperties>
</file>