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9F3A40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25</w:t>
      </w:r>
      <w:r w:rsidR="00CF23C1">
        <w:rPr>
          <w:rFonts w:ascii="Calibri" w:eastAsia="Times New Roman" w:hAnsi="Calibri"/>
          <w:b/>
          <w:sz w:val="22"/>
          <w:szCs w:val="22"/>
        </w:rPr>
        <w:t xml:space="preserve"> April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>
        <w:rPr>
          <w:rFonts w:ascii="Calibri" w:eastAsia="Times New Roman" w:hAnsi="Calibri"/>
          <w:b/>
          <w:sz w:val="22"/>
          <w:szCs w:val="22"/>
        </w:rPr>
        <w:t>noon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457A4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E7096D" w:rsidRPr="00171738" w:rsidRDefault="0025333F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F55D9F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868D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E481A" w:rsidRPr="00171738" w:rsidRDefault="000A66B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:rsidR="00781A0F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374E89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868D0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0A66B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E47B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0A66B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868D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0A66B3" w:rsidRDefault="009F3A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0A66B3">
        <w:rPr>
          <w:rFonts w:ascii="Calibri" w:eastAsia="Times New Roman" w:hAnsi="Calibri"/>
          <w:sz w:val="22"/>
          <w:szCs w:val="22"/>
        </w:rPr>
        <w:t>] Carol Graham</w:t>
      </w:r>
    </w:p>
    <w:p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2772E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Default="009B53F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9546B5" w:rsidRPr="00171738" w:rsidRDefault="00A919A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Brent Hill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374E8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D956B4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6657F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B152AA" w:rsidRDefault="00374E89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D29FB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:rsidR="00484DBB" w:rsidRDefault="000A66B3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5868D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</w:t>
      </w:r>
      <w:r w:rsidR="008A1AD1">
        <w:rPr>
          <w:rFonts w:ascii="Calibri" w:eastAsia="Times New Roman" w:hAnsi="Calibri"/>
          <w:sz w:val="22"/>
          <w:szCs w:val="22"/>
        </w:rPr>
        <w:t>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6B63E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:rsidR="00BC2D46" w:rsidRPr="00171738" w:rsidRDefault="002772E1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846E33"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868D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868D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:rsidR="00B0385E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868D0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422DFB" w:rsidRDefault="000A66B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868D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9B53FD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DE4E60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D29FB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:rsidR="00347468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868D0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82163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868D0">
        <w:rPr>
          <w:rFonts w:ascii="Calibri" w:eastAsia="Times New Roman" w:hAnsi="Calibri"/>
          <w:sz w:val="22"/>
          <w:szCs w:val="22"/>
        </w:rPr>
        <w:t>X</w:t>
      </w:r>
      <w:r w:rsidR="002772E1">
        <w:rPr>
          <w:rFonts w:ascii="Calibri" w:eastAsia="Times New Roman" w:hAnsi="Calibri"/>
          <w:sz w:val="22"/>
          <w:szCs w:val="22"/>
        </w:rPr>
        <w:t>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5C4D3C" w:rsidRDefault="00CE16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5C4D3C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5C4D3C">
        <w:rPr>
          <w:rFonts w:ascii="Calibri" w:eastAsia="Times New Roman" w:hAnsi="Calibri"/>
          <w:sz w:val="22"/>
          <w:szCs w:val="22"/>
        </w:rPr>
        <w:t>] Andrew McIntyre</w:t>
      </w:r>
    </w:p>
    <w:p w:rsidR="00F7416C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7F238B">
        <w:rPr>
          <w:rFonts w:ascii="Calibri" w:eastAsia="Times New Roman" w:hAnsi="Calibri"/>
          <w:sz w:val="22"/>
          <w:szCs w:val="22"/>
        </w:rPr>
        <w:t>] Tatyana Sandler</w:t>
      </w:r>
    </w:p>
    <w:p w:rsidR="00F7416C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F7416C">
        <w:rPr>
          <w:rFonts w:ascii="Calibri" w:eastAsia="Times New Roman" w:hAnsi="Calibri"/>
          <w:sz w:val="22"/>
          <w:szCs w:val="22"/>
        </w:rPr>
        <w:t>] Richard Plow</w:t>
      </w:r>
    </w:p>
    <w:p w:rsidR="00977A3F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4F2406">
        <w:rPr>
          <w:rFonts w:ascii="Calibri" w:eastAsia="Times New Roman" w:hAnsi="Calibri"/>
          <w:sz w:val="22"/>
          <w:szCs w:val="22"/>
        </w:rPr>
        <w:t>] Peter Scott</w:t>
      </w:r>
    </w:p>
    <w:p w:rsidR="00977A3F" w:rsidRDefault="00977A3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F3A40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 Srikarthikeyan Dritharashtrar</w:t>
      </w:r>
    </w:p>
    <w:p w:rsidR="00977A3F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6C0880">
        <w:rPr>
          <w:rFonts w:ascii="Calibri" w:eastAsia="Times New Roman" w:hAnsi="Calibri"/>
          <w:sz w:val="22"/>
          <w:szCs w:val="22"/>
        </w:rPr>
        <w:t>] Kathleen Connor</w:t>
      </w:r>
    </w:p>
    <w:p w:rsidR="0025333F" w:rsidRDefault="0025333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0018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 Elizabeth Fitzwater</w:t>
      </w:r>
    </w:p>
    <w:p w:rsidR="006C0880" w:rsidRDefault="006C0880" w:rsidP="009E4575">
      <w:pPr>
        <w:rPr>
          <w:rFonts w:ascii="Calibri" w:eastAsia="Times New Roman" w:hAnsi="Calibri"/>
          <w:sz w:val="22"/>
          <w:szCs w:val="22"/>
        </w:rPr>
        <w:sectPr w:rsidR="006C0880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C16ED1" w:rsidRPr="00C16ED1" w:rsidRDefault="009E4575" w:rsidP="00C16ED1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  <w:r w:rsidR="00353CD8" w:rsidRPr="00353CD8">
        <w:rPr>
          <w:rFonts w:ascii="Calibri" w:eastAsia="Times New Roman" w:hAnsi="Calibri" w:cs="Calibri"/>
          <w:color w:val="000000"/>
        </w:rPr>
        <w:t> </w:t>
      </w:r>
    </w:p>
    <w:p w:rsidR="006A2C41" w:rsidRPr="0025333F" w:rsidRDefault="009F3A40" w:rsidP="009F3A40">
      <w:pPr>
        <w:numPr>
          <w:ilvl w:val="0"/>
          <w:numId w:val="37"/>
        </w:numPr>
        <w:rPr>
          <w:rFonts w:ascii="Calibri" w:eastAsia="Times New Roman" w:hAnsi="Calibri" w:cs="Calibri"/>
          <w:color w:val="000000"/>
        </w:rPr>
      </w:pPr>
      <w:r w:rsidRPr="009F3A40">
        <w:rPr>
          <w:rFonts w:ascii="Calibri" w:eastAsia="Times New Roman" w:hAnsi="Calibri" w:cs="Calibri"/>
          <w:color w:val="000000"/>
          <w:sz w:val="22"/>
          <w:szCs w:val="22"/>
        </w:rPr>
        <w:t xml:space="preserve">Potential CDS project: FHIR-based knowledge resources describing evidence and guidance for </w:t>
      </w:r>
      <w:r w:rsidR="003E740B">
        <w:rPr>
          <w:rFonts w:ascii="Calibri" w:eastAsia="Times New Roman" w:hAnsi="Calibri" w:cs="Calibri"/>
          <w:color w:val="000000"/>
          <w:sz w:val="22"/>
          <w:szCs w:val="22"/>
        </w:rPr>
        <w:t>healthcare – Brian Alper le</w:t>
      </w:r>
      <w:r w:rsidRPr="009F3A40">
        <w:rPr>
          <w:rFonts w:ascii="Calibri" w:eastAsia="Times New Roman" w:hAnsi="Calibri" w:cs="Calibri"/>
          <w:color w:val="000000"/>
          <w:sz w:val="22"/>
          <w:szCs w:val="22"/>
        </w:rPr>
        <w:t>d the discussion.</w:t>
      </w:r>
      <w:r w:rsidR="00BC1BBC">
        <w:rPr>
          <w:rFonts w:ascii="Calibri" w:eastAsia="Times New Roman" w:hAnsi="Calibri" w:cs="Calibri"/>
          <w:color w:val="000000"/>
          <w:sz w:val="22"/>
          <w:szCs w:val="22"/>
        </w:rPr>
        <w:t xml:space="preserve"> Brian’s full documentation along with meeting notes is provided below.</w:t>
      </w:r>
    </w:p>
    <w:p w:rsidR="002B47C4" w:rsidRPr="00353CD8" w:rsidRDefault="002B47C4" w:rsidP="00B52147">
      <w:pPr>
        <w:rPr>
          <w:rFonts w:ascii="Calibri" w:eastAsia="Times New Roman" w:hAnsi="Calibri" w:cs="Calibri"/>
          <w:color w:val="000000"/>
        </w:rPr>
      </w:pPr>
    </w:p>
    <w:p w:rsidR="004A3645" w:rsidRDefault="004A3645" w:rsidP="004A3645">
      <w:pPr>
        <w:rPr>
          <w:rFonts w:asciiTheme="minorHAnsi" w:hAnsiTheme="minorHAnsi"/>
          <w:sz w:val="22"/>
          <w:szCs w:val="22"/>
        </w:rPr>
      </w:pPr>
    </w:p>
    <w:p w:rsidR="004A3645" w:rsidRDefault="004A3645" w:rsidP="004A3645">
      <w:pPr>
        <w:rPr>
          <w:rFonts w:asciiTheme="minorHAnsi" w:hAnsiTheme="minorHAnsi"/>
          <w:sz w:val="22"/>
          <w:szCs w:val="22"/>
        </w:rPr>
      </w:pPr>
      <w:r w:rsidRPr="00811E9A">
        <w:rPr>
          <w:rFonts w:asciiTheme="minorHAnsi" w:hAnsiTheme="minorHAnsi"/>
          <w:b/>
          <w:sz w:val="22"/>
          <w:szCs w:val="22"/>
          <w:u w:val="single"/>
        </w:rPr>
        <w:t>Agenda for next week</w:t>
      </w:r>
      <w:r w:rsidR="00F229CB" w:rsidRPr="00811E9A">
        <w:rPr>
          <w:rFonts w:asciiTheme="minorHAnsi" w:hAnsiTheme="minorHAnsi"/>
          <w:b/>
          <w:sz w:val="22"/>
          <w:szCs w:val="22"/>
          <w:u w:val="single"/>
        </w:rPr>
        <w:t xml:space="preserve"> – Wed </w:t>
      </w:r>
      <w:r w:rsidR="009F3A40">
        <w:rPr>
          <w:rFonts w:asciiTheme="minorHAnsi" w:hAnsiTheme="minorHAnsi"/>
          <w:b/>
          <w:sz w:val="22"/>
          <w:szCs w:val="22"/>
          <w:u w:val="single"/>
        </w:rPr>
        <w:t>May</w:t>
      </w:r>
      <w:r w:rsidR="003D21F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9F3A40">
        <w:rPr>
          <w:rFonts w:asciiTheme="minorHAnsi" w:hAnsiTheme="minorHAnsi"/>
          <w:b/>
          <w:sz w:val="22"/>
          <w:szCs w:val="22"/>
          <w:u w:val="single"/>
        </w:rPr>
        <w:t>2</w:t>
      </w:r>
      <w:r w:rsidR="009F3A40" w:rsidRPr="009F3A40">
        <w:rPr>
          <w:rFonts w:asciiTheme="minorHAnsi" w:hAnsiTheme="minorHAnsi"/>
          <w:b/>
          <w:sz w:val="22"/>
          <w:szCs w:val="22"/>
          <w:u w:val="single"/>
          <w:vertAlign w:val="superscript"/>
        </w:rPr>
        <w:t>nd</w:t>
      </w:r>
      <w:r w:rsidR="00046013">
        <w:rPr>
          <w:rFonts w:asciiTheme="minorHAnsi" w:hAnsiTheme="minorHAnsi"/>
          <w:b/>
          <w:sz w:val="22"/>
          <w:szCs w:val="22"/>
          <w:u w:val="single"/>
        </w:rPr>
        <w:t xml:space="preserve"> 4</w:t>
      </w:r>
      <w:r w:rsidR="009F3A40">
        <w:rPr>
          <w:rFonts w:asciiTheme="minorHAnsi" w:hAnsiTheme="minorHAnsi"/>
          <w:b/>
          <w:sz w:val="22"/>
          <w:szCs w:val="22"/>
          <w:u w:val="single"/>
        </w:rPr>
        <w:t>pm</w:t>
      </w:r>
      <w:r w:rsidR="00F229CB" w:rsidRPr="00811E9A">
        <w:rPr>
          <w:rFonts w:asciiTheme="minorHAnsi" w:hAnsiTheme="minorHAnsi"/>
          <w:b/>
          <w:sz w:val="22"/>
          <w:szCs w:val="22"/>
          <w:u w:val="single"/>
        </w:rPr>
        <w:t xml:space="preserve"> ET</w:t>
      </w:r>
      <w:r>
        <w:rPr>
          <w:rFonts w:asciiTheme="minorHAnsi" w:hAnsiTheme="minorHAnsi"/>
          <w:sz w:val="22"/>
          <w:szCs w:val="22"/>
        </w:rPr>
        <w:t>:</w:t>
      </w:r>
    </w:p>
    <w:p w:rsidR="00957D06" w:rsidRDefault="001266B7" w:rsidP="00237544">
      <w:pPr>
        <w:numPr>
          <w:ilvl w:val="0"/>
          <w:numId w:val="38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Review</w:t>
      </w:r>
      <w:r w:rsidR="00BC1BBC">
        <w:rPr>
          <w:rFonts w:ascii="Calibri" w:eastAsia="Times New Roman" w:hAnsi="Calibri" w:cs="Calibri"/>
          <w:color w:val="000000"/>
        </w:rPr>
        <w:t xml:space="preserve"> first draft </w:t>
      </w:r>
      <w:r>
        <w:rPr>
          <w:rFonts w:ascii="Calibri" w:eastAsia="Times New Roman" w:hAnsi="Calibri" w:cs="Calibri"/>
          <w:color w:val="000000"/>
        </w:rPr>
        <w:t xml:space="preserve">of the </w:t>
      </w:r>
      <w:r w:rsidR="00BC1BBC">
        <w:rPr>
          <w:rFonts w:ascii="Calibri" w:eastAsia="Times New Roman" w:hAnsi="Calibri" w:cs="Calibri"/>
          <w:color w:val="000000"/>
        </w:rPr>
        <w:t>PSS for the proposed project above.</w:t>
      </w:r>
      <w:r w:rsidR="001C24CE">
        <w:rPr>
          <w:rFonts w:ascii="Calibri" w:eastAsia="Times New Roman" w:hAnsi="Calibri" w:cs="Calibri"/>
          <w:color w:val="000000"/>
        </w:rPr>
        <w:t xml:space="preserve"> Target is to vote on PSS at the May WGM</w:t>
      </w:r>
      <w:bookmarkStart w:id="0" w:name="_GoBack"/>
      <w:bookmarkEnd w:id="0"/>
      <w:r w:rsidR="001C24CE">
        <w:rPr>
          <w:rFonts w:ascii="Calibri" w:eastAsia="Times New Roman" w:hAnsi="Calibri" w:cs="Calibri"/>
          <w:color w:val="000000"/>
        </w:rPr>
        <w:t xml:space="preserve"> in Germany.</w:t>
      </w:r>
    </w:p>
    <w:p w:rsidR="005A74C0" w:rsidRDefault="005A74C0" w:rsidP="00F464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:rsidR="00BC1BBC" w:rsidRDefault="00BC1BBC" w:rsidP="00F4640C">
      <w:pPr>
        <w:rPr>
          <w:rFonts w:ascii="Calibri" w:eastAsia="Times New Roman" w:hAnsi="Calibri" w:cs="Calibri"/>
          <w:color w:val="000000"/>
        </w:rPr>
      </w:pPr>
    </w:p>
    <w:p w:rsidR="00D66978" w:rsidRDefault="00D66978" w:rsidP="00F4640C">
      <w:pPr>
        <w:rPr>
          <w:rFonts w:ascii="Calibri" w:eastAsia="Times New Roman" w:hAnsi="Calibri" w:cs="Calibri"/>
          <w:color w:val="000000"/>
        </w:rPr>
      </w:pPr>
    </w:p>
    <w:p w:rsidR="00D66978" w:rsidRDefault="00D66978" w:rsidP="00F4640C">
      <w:pPr>
        <w:rPr>
          <w:rFonts w:ascii="Calibri" w:eastAsia="Times New Roman" w:hAnsi="Calibri" w:cs="Calibri"/>
          <w:color w:val="000000"/>
        </w:rPr>
      </w:pPr>
    </w:p>
    <w:p w:rsidR="00BC1BBC" w:rsidRDefault="00BC1BBC" w:rsidP="00F4640C">
      <w:pPr>
        <w:rPr>
          <w:rFonts w:ascii="Calibri" w:eastAsia="Times New Roman" w:hAnsi="Calibri" w:cs="Calibri"/>
          <w:color w:val="000000"/>
        </w:rPr>
      </w:pPr>
    </w:p>
    <w:p w:rsidR="00BC1BBC" w:rsidRPr="000128CF" w:rsidRDefault="00BC1BBC" w:rsidP="00BC1BBC">
      <w:pPr>
        <w:spacing w:after="160" w:line="259" w:lineRule="auto"/>
        <w:rPr>
          <w:rFonts w:asciiTheme="minorHAnsi" w:hAnsiTheme="minorHAnsi" w:cstheme="minorHAnsi"/>
          <w:color w:val="000000"/>
          <w:sz w:val="36"/>
          <w:szCs w:val="36"/>
          <w:u w:val="single"/>
          <w:lang w:eastAsia="fi-FI"/>
        </w:rPr>
      </w:pPr>
      <w:r w:rsidRPr="000128CF">
        <w:rPr>
          <w:rFonts w:asciiTheme="minorHAnsi" w:hAnsiTheme="minorHAnsi" w:cstheme="minorHAnsi"/>
          <w:color w:val="000000"/>
          <w:sz w:val="36"/>
          <w:szCs w:val="36"/>
          <w:u w:val="single"/>
          <w:lang w:eastAsia="fi-FI"/>
        </w:rPr>
        <w:lastRenderedPageBreak/>
        <w:t>EBM Community Developments</w:t>
      </w:r>
    </w:p>
    <w:p w:rsidR="00BC1BBC" w:rsidRDefault="00BC1BBC" w:rsidP="00BC1BBC">
      <w:pPr>
        <w:spacing w:after="160" w:line="259" w:lineRule="auto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 w:rsidRPr="002406FA"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G</w:t>
      </w: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uidelines International Network (G-I-N)</w:t>
      </w:r>
    </w:p>
    <w:p w:rsidR="00BC1BBC" w:rsidRDefault="00BC1BBC" w:rsidP="00BC1BBC">
      <w:pPr>
        <w:spacing w:after="160" w:line="259" w:lineRule="auto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Cochrane</w:t>
      </w:r>
    </w:p>
    <w:p w:rsidR="00BC1BBC" w:rsidRDefault="00BC1BBC" w:rsidP="00BC1BBC">
      <w:pPr>
        <w:spacing w:after="160" w:line="259" w:lineRule="auto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Grading of Recommendations Assessment, Development and Evaluaton (GRADE) Working Group</w:t>
      </w:r>
    </w:p>
    <w:p w:rsidR="00BC1BBC" w:rsidRDefault="00BC1BBC" w:rsidP="00BC1BBC">
      <w:pPr>
        <w:spacing w:after="160" w:line="259" w:lineRule="auto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International Society of Evidence-based Health Care (ISEHC)</w:t>
      </w:r>
    </w:p>
    <w:p w:rsidR="00BC1BBC" w:rsidRDefault="00BC1BBC" w:rsidP="00BC1BBC">
      <w:pPr>
        <w:spacing w:after="160" w:line="259" w:lineRule="auto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</w:p>
    <w:p w:rsidR="00BC1BBC" w:rsidRDefault="00BC1BBC" w:rsidP="00BC1BBC">
      <w:pPr>
        <w:spacing w:after="160" w:line="259" w:lineRule="auto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 xml:space="preserve">”Knowledge Resources” to these groups include </w:t>
      </w:r>
    </w:p>
    <w:p w:rsidR="00BC1BBC" w:rsidRDefault="00BC1BBC" w:rsidP="00BC1BBC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 w:rsidRPr="000128CF"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summaries o</w:t>
      </w: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f research results (evidence)</w:t>
      </w:r>
    </w:p>
    <w:p w:rsidR="00BC1BBC" w:rsidRDefault="00BC1BBC" w:rsidP="00BC1BBC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 w:rsidRPr="000128CF">
        <w:rPr>
          <w:rFonts w:asciiTheme="minorHAnsi" w:hAnsiTheme="minorHAnsi" w:cstheme="minorHAnsi"/>
          <w:color w:val="000000"/>
          <w:sz w:val="36"/>
          <w:szCs w:val="36"/>
          <w:lang w:eastAsia="fi-FI"/>
        </w:rPr>
        <w:t xml:space="preserve">summaries </w:t>
      </w: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of appraisal of reliability of research results</w:t>
      </w:r>
    </w:p>
    <w:p w:rsidR="00BC1BBC" w:rsidRDefault="00BC1BBC" w:rsidP="00BC1BBC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synthesis of research results</w:t>
      </w:r>
    </w:p>
    <w:p w:rsidR="00BC1BBC" w:rsidRDefault="00BC1BBC" w:rsidP="00BC1BBC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certainty of evidence for a body of evidence</w:t>
      </w:r>
    </w:p>
    <w:p w:rsidR="00BC1BBC" w:rsidRDefault="00BC1BBC" w:rsidP="00BC1BBC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recommendations</w:t>
      </w:r>
    </w:p>
    <w:p w:rsidR="00BC1BBC" w:rsidRDefault="00BC1BBC" w:rsidP="00BC1BBC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strength of recommendations</w:t>
      </w:r>
    </w:p>
    <w:p w:rsidR="00BC1BBC" w:rsidRDefault="00BC1BBC" w:rsidP="00BC1BBC">
      <w:pPr>
        <w:spacing w:after="160" w:line="259" w:lineRule="auto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</w:p>
    <w:p w:rsidR="00BC1BBC" w:rsidRDefault="00BC1BBC" w:rsidP="00BC1BBC">
      <w:pPr>
        <w:spacing w:after="160" w:line="259" w:lineRule="auto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”Knowledge Resources” represent societal knowledge to answer questions like What do we know?  What should we do?  How certain are we in these answers?</w:t>
      </w:r>
    </w:p>
    <w:p w:rsidR="00BC1BBC" w:rsidRPr="000128CF" w:rsidRDefault="00BC1BBC" w:rsidP="00BC1BBC">
      <w:pPr>
        <w:spacing w:after="160" w:line="259" w:lineRule="auto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These concepts are the precursors to decision rules (the L1 knolwedge artifacts), and there is substantial global activity in development and refinement of this knowledge</w:t>
      </w:r>
    </w:p>
    <w:p w:rsidR="00BC1BBC" w:rsidRDefault="00BC1BBC" w:rsidP="00BC1BBC">
      <w:pPr>
        <w:spacing w:after="160" w:line="259" w:lineRule="auto"/>
        <w:rPr>
          <w:rFonts w:asciiTheme="minorHAnsi" w:hAnsiTheme="minorHAnsi" w:cstheme="minorHAnsi"/>
          <w:color w:val="000000"/>
          <w:sz w:val="17"/>
          <w:szCs w:val="17"/>
          <w:lang w:eastAsia="fi-FI"/>
        </w:rPr>
      </w:pPr>
    </w:p>
    <w:p w:rsidR="00BC1BBC" w:rsidRDefault="00BC1BBC" w:rsidP="00BC1BBC">
      <w:pPr>
        <w:spacing w:after="160" w:line="259" w:lineRule="auto"/>
        <w:rPr>
          <w:rFonts w:asciiTheme="minorHAnsi" w:hAnsiTheme="minorHAnsi" w:cstheme="minorHAnsi"/>
          <w:color w:val="000000"/>
          <w:sz w:val="17"/>
          <w:szCs w:val="17"/>
          <w:lang w:eastAsia="fi-FI"/>
        </w:rPr>
      </w:pPr>
      <w:r w:rsidRPr="00593EB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AFE67B2" wp14:editId="4CDCDB2D">
            <wp:extent cx="6984873" cy="517398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820" cy="518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sz w:val="17"/>
          <w:szCs w:val="17"/>
          <w:lang w:eastAsia="fi-FI"/>
        </w:rPr>
        <w:br w:type="page"/>
      </w:r>
    </w:p>
    <w:p w:rsidR="00BC1BBC" w:rsidRPr="000128CF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u w:val="single"/>
          <w:lang w:eastAsia="fi-FI"/>
        </w:rPr>
      </w:pPr>
      <w:r w:rsidRPr="000128CF">
        <w:rPr>
          <w:rFonts w:asciiTheme="minorHAnsi" w:hAnsiTheme="minorHAnsi" w:cstheme="minorHAnsi"/>
          <w:color w:val="000000"/>
          <w:sz w:val="36"/>
          <w:szCs w:val="36"/>
          <w:u w:val="single"/>
          <w:lang w:eastAsia="fi-FI"/>
        </w:rPr>
        <w:lastRenderedPageBreak/>
        <w:t>CDS Community Developments</w:t>
      </w: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Knowledge Artifact Specification (KNART)</w:t>
      </w: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CDS Hooks</w:t>
      </w: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FHIR Clinical Reasoning Module</w:t>
      </w:r>
    </w:p>
    <w:p w:rsidR="00BC1BBC" w:rsidRDefault="00BC1BBC" w:rsidP="00BC1BBC">
      <w:pPr>
        <w:shd w:val="clear" w:color="auto" w:fill="FFFFFF"/>
        <w:spacing w:after="150" w:line="336" w:lineRule="atLeast"/>
        <w:rPr>
          <w:rFonts w:ascii="Verdana" w:eastAsia="Times New Roman" w:hAnsi="Verdana"/>
          <w:color w:val="333333"/>
          <w:sz w:val="18"/>
          <w:szCs w:val="18"/>
        </w:rPr>
      </w:pPr>
    </w:p>
    <w:p w:rsidR="00BC1BBC" w:rsidRDefault="00BC1BBC" w:rsidP="00BC1BBC">
      <w:pPr>
        <w:shd w:val="clear" w:color="auto" w:fill="FFFFFF"/>
        <w:spacing w:after="150" w:line="336" w:lineRule="atLeast"/>
        <w:rPr>
          <w:rFonts w:ascii="Verdana" w:eastAsia="Times New Roman" w:hAnsi="Verdana"/>
          <w:color w:val="333333"/>
          <w:sz w:val="18"/>
          <w:szCs w:val="18"/>
        </w:rPr>
      </w:pPr>
    </w:p>
    <w:p w:rsidR="00BC1BBC" w:rsidRPr="00BC271E" w:rsidRDefault="00BC1BBC" w:rsidP="00BC1BBC">
      <w:pPr>
        <w:shd w:val="clear" w:color="auto" w:fill="FFFFFF"/>
        <w:spacing w:after="150" w:line="336" w:lineRule="atLeast"/>
        <w:rPr>
          <w:rFonts w:ascii="Verdana" w:eastAsia="Times New Roman" w:hAnsi="Verdana"/>
          <w:color w:val="333333"/>
          <w:sz w:val="18"/>
          <w:szCs w:val="18"/>
        </w:rPr>
      </w:pPr>
      <w:r w:rsidRPr="00BC271E">
        <w:rPr>
          <w:rFonts w:ascii="Verdana" w:eastAsia="Times New Roman" w:hAnsi="Verdana"/>
          <w:color w:val="333333"/>
          <w:sz w:val="18"/>
          <w:szCs w:val="18"/>
        </w:rPr>
        <w:t>The Clinical Reasoning module focuses on enabling two primary use cases:</w:t>
      </w:r>
    </w:p>
    <w:p w:rsidR="00BC1BBC" w:rsidRPr="00BC271E" w:rsidRDefault="00BC1BBC" w:rsidP="00BC1BBC">
      <w:pPr>
        <w:numPr>
          <w:ilvl w:val="0"/>
          <w:numId w:val="42"/>
        </w:numPr>
        <w:shd w:val="clear" w:color="auto" w:fill="FFFFFF"/>
        <w:spacing w:after="75" w:line="336" w:lineRule="atLeast"/>
        <w:rPr>
          <w:rFonts w:ascii="Verdana" w:eastAsia="Times New Roman" w:hAnsi="Verdana" w:cs="Helvetica"/>
          <w:color w:val="333333"/>
          <w:sz w:val="18"/>
          <w:szCs w:val="18"/>
        </w:rPr>
      </w:pPr>
      <w:r w:rsidRPr="00BC271E">
        <w:rPr>
          <w:rFonts w:ascii="Verdana" w:eastAsia="Times New Roman" w:hAnsi="Verdana" w:cs="Helvetica"/>
          <w:b/>
          <w:bCs/>
          <w:color w:val="333333"/>
          <w:sz w:val="18"/>
          <w:szCs w:val="18"/>
        </w:rPr>
        <w:t>Sharing</w:t>
      </w:r>
      <w:r w:rsidRPr="00BC271E">
        <w:rPr>
          <w:rFonts w:ascii="Verdana" w:eastAsia="Times New Roman" w:hAnsi="Verdana" w:cs="Helvetica"/>
          <w:color w:val="333333"/>
          <w:sz w:val="18"/>
          <w:szCs w:val="18"/>
        </w:rPr>
        <w:t> - The ability to represent clinical knowledge artifacts such as decision support rules, order sets, protocols, and quality measures, and to do so in a way that enables those artifacts to be shared across organizations.</w:t>
      </w:r>
    </w:p>
    <w:p w:rsidR="00BC1BBC" w:rsidRPr="00BC271E" w:rsidRDefault="00BC1BBC" w:rsidP="00BC1BBC">
      <w:pPr>
        <w:numPr>
          <w:ilvl w:val="0"/>
          <w:numId w:val="42"/>
        </w:numPr>
        <w:shd w:val="clear" w:color="auto" w:fill="FFFFFF"/>
        <w:spacing w:after="75" w:line="336" w:lineRule="atLeast"/>
        <w:rPr>
          <w:rFonts w:ascii="Verdana" w:eastAsia="Times New Roman" w:hAnsi="Verdana" w:cs="Helvetica"/>
          <w:color w:val="333333"/>
          <w:sz w:val="18"/>
          <w:szCs w:val="18"/>
        </w:rPr>
      </w:pPr>
      <w:r w:rsidRPr="00BC271E">
        <w:rPr>
          <w:rFonts w:ascii="Verdana" w:eastAsia="Times New Roman" w:hAnsi="Verdana" w:cs="Helvetica"/>
          <w:b/>
          <w:bCs/>
          <w:color w:val="333333"/>
          <w:sz w:val="18"/>
          <w:szCs w:val="18"/>
        </w:rPr>
        <w:t>Evaluation</w:t>
      </w:r>
      <w:r w:rsidRPr="00BC271E">
        <w:rPr>
          <w:rFonts w:ascii="Verdana" w:eastAsia="Times New Roman" w:hAnsi="Verdana" w:cs="Helvetica"/>
          <w:color w:val="333333"/>
          <w:sz w:val="18"/>
          <w:szCs w:val="18"/>
        </w:rPr>
        <w:t> - The ability to evaluate clinical knowledge artifacts in the context of a specific patient or population, including the ability to request decision support guidance, impact clinical workflow, and retrospectively assess quality metrics.</w:t>
      </w:r>
    </w:p>
    <w:p w:rsidR="00BC1BBC" w:rsidRDefault="00BC1BBC" w:rsidP="00BC1BBC">
      <w:pPr>
        <w:shd w:val="clear" w:color="auto" w:fill="FFFFFF"/>
        <w:spacing w:after="150" w:line="336" w:lineRule="atLeast"/>
        <w:rPr>
          <w:rFonts w:ascii="Verdana" w:eastAsia="Times New Roman" w:hAnsi="Verdana"/>
          <w:color w:val="333333"/>
          <w:sz w:val="18"/>
          <w:szCs w:val="18"/>
        </w:rPr>
      </w:pPr>
    </w:p>
    <w:p w:rsidR="00BC1BBC" w:rsidRDefault="00BC1BBC" w:rsidP="00BC1BBC">
      <w:pPr>
        <w:shd w:val="clear" w:color="auto" w:fill="FFFFFF"/>
        <w:spacing w:after="150" w:line="336" w:lineRule="atLeast"/>
        <w:rPr>
          <w:rFonts w:ascii="Verdana" w:eastAsia="Times New Roman" w:hAnsi="Verdana"/>
          <w:color w:val="333333"/>
          <w:sz w:val="18"/>
          <w:szCs w:val="18"/>
        </w:rPr>
      </w:pPr>
    </w:p>
    <w:p w:rsidR="00BC1BBC" w:rsidRPr="00BC271E" w:rsidRDefault="00BC1BBC" w:rsidP="00BC1BBC">
      <w:pPr>
        <w:shd w:val="clear" w:color="auto" w:fill="FFFFFF"/>
        <w:spacing w:after="150" w:line="336" w:lineRule="atLeast"/>
        <w:rPr>
          <w:rFonts w:ascii="Verdana" w:eastAsia="Times New Roman" w:hAnsi="Verdana"/>
          <w:color w:val="333333"/>
          <w:sz w:val="18"/>
          <w:szCs w:val="18"/>
        </w:rPr>
      </w:pPr>
      <w:r w:rsidRPr="00BC271E">
        <w:rPr>
          <w:rFonts w:ascii="Verdana" w:eastAsia="Times New Roman" w:hAnsi="Verdana"/>
          <w:color w:val="333333"/>
          <w:sz w:val="18"/>
          <w:szCs w:val="18"/>
        </w:rPr>
        <w:t>To enable these use cases, the module defines several components that can each be used independently, or combined to enable more complex functionality. These components are:</w:t>
      </w:r>
    </w:p>
    <w:p w:rsidR="00BC1BBC" w:rsidRPr="00BC271E" w:rsidRDefault="00BC1BBC" w:rsidP="00BC1BBC">
      <w:pPr>
        <w:numPr>
          <w:ilvl w:val="0"/>
          <w:numId w:val="43"/>
        </w:numPr>
        <w:shd w:val="clear" w:color="auto" w:fill="FFFFFF"/>
        <w:spacing w:after="75" w:line="336" w:lineRule="atLeast"/>
        <w:ind w:left="0"/>
        <w:rPr>
          <w:rFonts w:ascii="Verdana" w:eastAsia="Times New Roman" w:hAnsi="Verdana" w:cs="Helvetica"/>
          <w:color w:val="333333"/>
          <w:sz w:val="18"/>
          <w:szCs w:val="18"/>
        </w:rPr>
      </w:pPr>
      <w:r w:rsidRPr="00BC271E">
        <w:rPr>
          <w:rFonts w:ascii="Verdana" w:eastAsia="Times New Roman" w:hAnsi="Verdana" w:cs="Helvetica"/>
          <w:b/>
          <w:bCs/>
          <w:color w:val="333333"/>
          <w:sz w:val="18"/>
          <w:szCs w:val="18"/>
        </w:rPr>
        <w:t>Expression Logic</w:t>
      </w:r>
      <w:r w:rsidRPr="00BC271E">
        <w:rPr>
          <w:rFonts w:ascii="Verdana" w:eastAsia="Times New Roman" w:hAnsi="Verdana" w:cs="Helvetica"/>
          <w:color w:val="333333"/>
          <w:sz w:val="18"/>
          <w:szCs w:val="18"/>
        </w:rPr>
        <w:t> - the representation of logic using languages such as FHIRPath and Clinical Quality Language (CQL).</w:t>
      </w:r>
    </w:p>
    <w:p w:rsidR="00BC1BBC" w:rsidRPr="00BC271E" w:rsidRDefault="00BC1BBC" w:rsidP="00BC1BBC">
      <w:pPr>
        <w:numPr>
          <w:ilvl w:val="0"/>
          <w:numId w:val="43"/>
        </w:numPr>
        <w:shd w:val="clear" w:color="auto" w:fill="FFFFFF"/>
        <w:spacing w:after="75" w:line="336" w:lineRule="atLeast"/>
        <w:ind w:left="0"/>
        <w:rPr>
          <w:rFonts w:ascii="Verdana" w:eastAsia="Times New Roman" w:hAnsi="Verdana" w:cs="Helvetica"/>
          <w:color w:val="333333"/>
          <w:sz w:val="18"/>
          <w:szCs w:val="18"/>
        </w:rPr>
      </w:pPr>
      <w:r w:rsidRPr="00BC271E">
        <w:rPr>
          <w:rFonts w:ascii="Verdana" w:eastAsia="Times New Roman" w:hAnsi="Verdana" w:cs="Helvetica"/>
          <w:b/>
          <w:bCs/>
          <w:color w:val="333333"/>
          <w:sz w:val="18"/>
          <w:szCs w:val="18"/>
        </w:rPr>
        <w:t>Definitional Resources</w:t>
      </w:r>
      <w:r w:rsidRPr="00BC271E">
        <w:rPr>
          <w:rFonts w:ascii="Verdana" w:eastAsia="Times New Roman" w:hAnsi="Verdana" w:cs="Helvetica"/>
          <w:color w:val="333333"/>
          <w:sz w:val="18"/>
          <w:szCs w:val="18"/>
        </w:rPr>
        <w:t> - resources that are not defined on any specific patient, but are used to define the actions to be performed as part of a clinical knowledge artifact such as an order set or decision support rule. These resources can be used directly, or with profiles to provide intended structure for specific types of resources.</w:t>
      </w:r>
    </w:p>
    <w:p w:rsidR="00BC1BBC" w:rsidRDefault="00BC1BBC" w:rsidP="00BC1BBC">
      <w:pPr>
        <w:numPr>
          <w:ilvl w:val="0"/>
          <w:numId w:val="43"/>
        </w:numPr>
        <w:shd w:val="clear" w:color="auto" w:fill="FFFFFF"/>
        <w:spacing w:after="75" w:line="336" w:lineRule="atLeast"/>
        <w:ind w:left="0"/>
        <w:rPr>
          <w:rFonts w:ascii="Verdana" w:eastAsia="Times New Roman" w:hAnsi="Verdana" w:cs="Helvetica"/>
          <w:color w:val="333333"/>
          <w:sz w:val="18"/>
          <w:szCs w:val="18"/>
        </w:rPr>
      </w:pPr>
      <w:r w:rsidRPr="00BC271E">
        <w:rPr>
          <w:rFonts w:ascii="Verdana" w:eastAsia="Times New Roman" w:hAnsi="Verdana" w:cs="Helvetica"/>
          <w:b/>
          <w:bCs/>
          <w:color w:val="333333"/>
          <w:sz w:val="18"/>
          <w:szCs w:val="18"/>
        </w:rPr>
        <w:t>Knowledge Artifacts</w:t>
      </w:r>
      <w:r w:rsidRPr="00BC271E">
        <w:rPr>
          <w:rFonts w:ascii="Verdana" w:eastAsia="Times New Roman" w:hAnsi="Verdana" w:cs="Helvetica"/>
          <w:color w:val="333333"/>
          <w:sz w:val="18"/>
          <w:szCs w:val="18"/>
        </w:rPr>
        <w:t> - representation of clinical knowledge such as decision support rules and clinical quality measures.</w:t>
      </w:r>
    </w:p>
    <w:p w:rsidR="00BC1BBC" w:rsidRDefault="00BC1BBC" w:rsidP="00BC1BBC">
      <w:pPr>
        <w:spacing w:after="160" w:line="259" w:lineRule="auto"/>
        <w:rPr>
          <w:rFonts w:ascii="Verdana" w:eastAsia="Times New Roman" w:hAnsi="Verdana" w:cs="Helvetica"/>
          <w:color w:val="333333"/>
          <w:sz w:val="18"/>
          <w:szCs w:val="18"/>
        </w:rPr>
      </w:pPr>
      <w:r>
        <w:rPr>
          <w:rFonts w:ascii="Verdana" w:eastAsia="Times New Roman" w:hAnsi="Verdana" w:cs="Helvetica"/>
          <w:color w:val="333333"/>
          <w:sz w:val="18"/>
          <w:szCs w:val="18"/>
        </w:rPr>
        <w:br w:type="page"/>
      </w: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lastRenderedPageBreak/>
        <w:t>FHIR Clinical Reasoning Module</w:t>
      </w:r>
    </w:p>
    <w:p w:rsidR="00BC1BBC" w:rsidRPr="00BC271E" w:rsidRDefault="00BC1BBC" w:rsidP="00BC1BBC">
      <w:pPr>
        <w:shd w:val="clear" w:color="auto" w:fill="FFFFFF"/>
        <w:spacing w:after="75" w:line="336" w:lineRule="atLeast"/>
        <w:rPr>
          <w:rFonts w:ascii="Verdana" w:eastAsia="Times New Roman" w:hAnsi="Verdana" w:cs="Helvetica"/>
          <w:color w:val="333333"/>
          <w:sz w:val="18"/>
          <w:szCs w:val="18"/>
        </w:rPr>
      </w:pPr>
    </w:p>
    <w:p w:rsidR="00BC1BBC" w:rsidRDefault="00BC1BBC" w:rsidP="00BC1BBC">
      <w:pPr>
        <w:pStyle w:val="Heading4"/>
        <w:shd w:val="clear" w:color="auto" w:fill="FFFFFF"/>
        <w:spacing w:before="0" w:beforeAutospacing="0" w:after="96" w:afterAutospacing="0" w:line="300" w:lineRule="atLeast"/>
        <w:rPr>
          <w:rFonts w:ascii="Helvetica" w:hAnsi="Helvetica" w:cs="Helvetica"/>
          <w:b w:val="0"/>
          <w:bCs w:val="0"/>
          <w:color w:val="000000"/>
        </w:rPr>
      </w:pPr>
      <w:r>
        <w:rPr>
          <w:rFonts w:ascii="Helvetica" w:hAnsi="Helvetica" w:cs="Helvetica"/>
          <w:b w:val="0"/>
          <w:bCs w:val="0"/>
          <w:color w:val="000000"/>
        </w:rPr>
        <w:t>Resources </w:t>
      </w:r>
      <w:r>
        <w:rPr>
          <w:rFonts w:ascii="Helvetica" w:hAnsi="Helvetica" w:cs="Helvetica"/>
          <w:b w:val="0"/>
          <w:bCs w:val="0"/>
          <w:noProof/>
          <w:color w:val="428BCA"/>
        </w:rPr>
        <mc:AlternateContent>
          <mc:Choice Requires="wps">
            <w:drawing>
              <wp:inline distT="0" distB="0" distL="0" distR="0" wp14:anchorId="4FD11A13" wp14:editId="23E224BE">
                <wp:extent cx="190500" cy="190500"/>
                <wp:effectExtent l="0" t="0" r="0" b="0"/>
                <wp:docPr id="3" name="Rectangle 3" descr="http://www.hl7.org/fhir/assets/images/link.svg">
                  <a:hlinkClick xmlns:a="http://schemas.openxmlformats.org/drawingml/2006/main" r:id="rId8" tooltip="&quot;link to her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7D5ED" id="Rectangle 3" o:spid="_x0000_s1026" alt="http://www.hl7.org/fhir/assets/images/link.svg" href="http://www.hl7.org/fhir/clinicalreasoning-module.html#index-resources" title="&quot;link to here&quot;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7659"/>
      </w:tblGrid>
      <w:tr w:rsidR="00BC1BBC" w:rsidTr="00CA5667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b/>
                <w:bCs/>
                <w:color w:val="333333"/>
                <w:sz w:val="18"/>
                <w:szCs w:val="18"/>
              </w:rPr>
              <w:t>Resource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b/>
                <w:bCs/>
                <w:color w:val="333333"/>
                <w:sz w:val="18"/>
                <w:szCs w:val="18"/>
              </w:rPr>
              <w:t>Description</w:t>
            </w:r>
          </w:p>
        </w:tc>
      </w:tr>
      <w:tr w:rsidR="00BC1BBC" w:rsidTr="00CA566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Verdana" w:hAnsi="Verdana" w:cs="Helvetica"/>
                  <w:color w:val="428BCA"/>
                  <w:sz w:val="18"/>
                  <w:szCs w:val="18"/>
                </w:rPr>
                <w:t>ActivityDefinition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A resource to represent definitional resources.</w:t>
            </w:r>
          </w:p>
        </w:tc>
      </w:tr>
      <w:tr w:rsidR="00BC1BBC" w:rsidTr="00CA566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hyperlink r:id="rId10" w:anchor="datarequirement.html" w:history="1">
              <w:r>
                <w:rPr>
                  <w:rStyle w:val="Hyperlink"/>
                  <w:rFonts w:ascii="Verdana" w:hAnsi="Verdana" w:cs="Helvetica"/>
                  <w:color w:val="428BCA"/>
                  <w:sz w:val="18"/>
                  <w:szCs w:val="18"/>
                </w:rPr>
                <w:t>DataRequirement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A data type that represents a general data requirement for a knowledge asset such as a decision support rule or quality measure.</w:t>
            </w:r>
          </w:p>
        </w:tc>
      </w:tr>
      <w:tr w:rsidR="00BC1BBC" w:rsidTr="00CA566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rFonts w:ascii="Verdana" w:hAnsi="Verdana" w:cs="Helvetica"/>
                  <w:color w:val="428BCA"/>
                  <w:sz w:val="18"/>
                  <w:szCs w:val="18"/>
                </w:rPr>
                <w:t>GuidanceResponse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Represents the response to a specific guidance request returned by the $evaluate operation.</w:t>
            </w:r>
          </w:p>
        </w:tc>
      </w:tr>
      <w:tr w:rsidR="00BC1BBC" w:rsidTr="00CA566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rFonts w:ascii="Verdana" w:hAnsi="Verdana" w:cs="Helvetica"/>
                  <w:color w:val="428BCA"/>
                  <w:sz w:val="18"/>
                  <w:szCs w:val="18"/>
                </w:rPr>
                <w:t>Library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Provides a container for knowledge artifacts that includes logic libraries, model definitions, and asset collections.</w:t>
            </w:r>
          </w:p>
        </w:tc>
      </w:tr>
      <w:tr w:rsidR="00BC1BBC" w:rsidTr="00CA566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hyperlink r:id="rId13" w:history="1">
              <w:r>
                <w:rPr>
                  <w:rStyle w:val="Hyperlink"/>
                  <w:rFonts w:ascii="Verdana" w:hAnsi="Verdana" w:cs="Helvetica"/>
                  <w:color w:val="428BCA"/>
                  <w:sz w:val="18"/>
                  <w:szCs w:val="18"/>
                </w:rPr>
                <w:t>Measure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Represents a clinical quality measure and provides evaluation through the $evaluate-measure operation.</w:t>
            </w:r>
          </w:p>
        </w:tc>
      </w:tr>
      <w:tr w:rsidR="00BC1BBC" w:rsidTr="00CA566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hyperlink r:id="rId14" w:history="1">
              <w:r>
                <w:rPr>
                  <w:rStyle w:val="Hyperlink"/>
                  <w:rFonts w:ascii="Verdana" w:hAnsi="Verdana" w:cs="Helvetica"/>
                  <w:color w:val="428BCA"/>
                  <w:sz w:val="18"/>
                  <w:szCs w:val="18"/>
                </w:rPr>
                <w:t>MeasureReport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Represents the response to a specific measure evaluation request returned by the $evaluate-measure operation.</w:t>
            </w:r>
          </w:p>
        </w:tc>
      </w:tr>
      <w:tr w:rsidR="00BC1BBC" w:rsidTr="00CA566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hyperlink r:id="rId15" w:history="1">
              <w:r>
                <w:rPr>
                  <w:rStyle w:val="Hyperlink"/>
                  <w:rFonts w:ascii="Verdana" w:hAnsi="Verdana" w:cs="Helvetica"/>
                  <w:color w:val="428BCA"/>
                  <w:sz w:val="18"/>
                  <w:szCs w:val="18"/>
                </w:rPr>
                <w:t>PlanDefinition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Represents the description of a plan for accomplishing a particular goal. This resource is used to represent a broad variety of clinical knowledge artifacts including decision support rules, order sets, and protocols.</w:t>
            </w:r>
          </w:p>
        </w:tc>
      </w:tr>
      <w:tr w:rsidR="00BC1BBC" w:rsidTr="00CA566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hyperlink r:id="rId16" w:history="1">
              <w:r>
                <w:rPr>
                  <w:rStyle w:val="Hyperlink"/>
                  <w:rFonts w:ascii="Verdana" w:hAnsi="Verdana" w:cs="Helvetica"/>
                  <w:color w:val="428BCA"/>
                  <w:sz w:val="18"/>
                  <w:szCs w:val="18"/>
                </w:rPr>
                <w:t>RequestGroup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Represents a group of options for a particular subject that can be used to accomplish a particular goal. This resource is often, but not always, the result of applying a PlanDefinition to a particular patient.</w:t>
            </w:r>
          </w:p>
        </w:tc>
      </w:tr>
      <w:tr w:rsidR="00BC1BBC" w:rsidTr="00CA566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hyperlink r:id="rId17" w:history="1">
              <w:r>
                <w:rPr>
                  <w:rStyle w:val="Hyperlink"/>
                  <w:rFonts w:ascii="Verdana" w:hAnsi="Verdana" w:cs="Helvetica"/>
                  <w:color w:val="428BCA"/>
                  <w:sz w:val="18"/>
                  <w:szCs w:val="18"/>
                </w:rPr>
                <w:t>ServiceDefinition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BBC" w:rsidRDefault="00BC1BBC" w:rsidP="00CA5667">
            <w:pPr>
              <w:spacing w:after="150" w:line="336" w:lineRule="atLeast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Describes a specific clinical decision support service and supports evaluation using the $evaluate operation.</w:t>
            </w:r>
          </w:p>
        </w:tc>
      </w:tr>
    </w:tbl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”Knowledge Resources” represent the coordination of the decision rules with individual patient data (to reach executable guidance)</w:t>
      </w: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Some efforts perhaps getting closer to capturing the knowledge of evidence and guidance (societal knowledge, evidence-based medicine)</w:t>
      </w: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CDC project mapping guideline recommendations to CDS knowledge artifacts</w:t>
      </w: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--CDC Kaizan</w:t>
      </w: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--Guideline Preparation</w:t>
      </w: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--challenge – how to deal with missing evidence, how to represent best known consensus</w:t>
      </w: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CDS WG discussion with Pharmacy WG about Assertion Resource (eg. ”aspirin treats headache”)</w:t>
      </w:r>
    </w:p>
    <w:p w:rsidR="00BC1BBC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36"/>
          <w:szCs w:val="36"/>
          <w:lang w:eastAsia="fi-FI"/>
        </w:rPr>
      </w:pPr>
      <w:r>
        <w:rPr>
          <w:rFonts w:asciiTheme="minorHAnsi" w:hAnsiTheme="minorHAnsi" w:cstheme="minorHAnsi"/>
          <w:color w:val="000000"/>
          <w:sz w:val="36"/>
          <w:szCs w:val="36"/>
          <w:lang w:eastAsia="fi-FI"/>
        </w:rPr>
        <w:t>--draft in current FHIR build, focused on medication (? Indication)</w:t>
      </w:r>
    </w:p>
    <w:p w:rsidR="00BC1BBC" w:rsidRDefault="00BC1BBC" w:rsidP="00BC1BBC">
      <w:pPr>
        <w:spacing w:after="160" w:line="259" w:lineRule="auto"/>
        <w:rPr>
          <w:rFonts w:asciiTheme="minorHAnsi" w:hAnsiTheme="minorHAnsi" w:cstheme="minorHAnsi"/>
          <w:color w:val="000000"/>
          <w:sz w:val="17"/>
          <w:szCs w:val="17"/>
          <w:lang w:eastAsia="fi-FI"/>
        </w:rPr>
      </w:pPr>
      <w:r>
        <w:rPr>
          <w:rFonts w:asciiTheme="minorHAnsi" w:hAnsiTheme="minorHAnsi" w:cstheme="minorHAnsi"/>
          <w:color w:val="000000"/>
          <w:sz w:val="17"/>
          <w:szCs w:val="17"/>
          <w:lang w:eastAsia="fi-FI"/>
        </w:rPr>
        <w:br w:type="page"/>
      </w:r>
    </w:p>
    <w:p w:rsidR="00BC1BBC" w:rsidRPr="00593EB9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sz w:val="17"/>
          <w:szCs w:val="17"/>
          <w:lang w:eastAsia="fi-FI"/>
        </w:rPr>
      </w:pPr>
      <w:r w:rsidRPr="00593EB9">
        <w:rPr>
          <w:rFonts w:asciiTheme="minorHAnsi" w:hAnsiTheme="minorHAnsi" w:cstheme="minorHAnsi"/>
          <w:b/>
          <w:bCs/>
        </w:rPr>
        <w:lastRenderedPageBreak/>
        <w:t>EBMonFHIR – Advancing from Interoperable Electronic Health Records to an Interoperable Evidence Ecosystem</w:t>
      </w:r>
    </w:p>
    <w:p w:rsidR="00BC1BBC" w:rsidRPr="00593EB9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lang w:eastAsia="fi-FI"/>
        </w:rPr>
      </w:pPr>
    </w:p>
    <w:p w:rsidR="00BC1BBC" w:rsidRPr="00593EB9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lang w:eastAsia="fi-FI"/>
        </w:rPr>
      </w:pPr>
      <w:r w:rsidRPr="00593EB9">
        <w:rPr>
          <w:rFonts w:asciiTheme="minorHAnsi" w:hAnsiTheme="minorHAnsi" w:cstheme="minorHAnsi"/>
          <w:color w:val="000000"/>
          <w:lang w:eastAsia="fi-FI"/>
        </w:rPr>
        <w:t>B. Alper </w:t>
      </w:r>
      <w:r w:rsidRPr="00593EB9">
        <w:rPr>
          <w:rFonts w:asciiTheme="minorHAnsi" w:hAnsiTheme="minorHAnsi" w:cstheme="minorHAnsi"/>
          <w:color w:val="000000"/>
          <w:vertAlign w:val="superscript"/>
          <w:lang w:eastAsia="fi-FI"/>
        </w:rPr>
        <w:t>1</w:t>
      </w:r>
      <w:r w:rsidRPr="00593EB9">
        <w:rPr>
          <w:rFonts w:asciiTheme="minorHAnsi" w:hAnsiTheme="minorHAnsi" w:cstheme="minorHAnsi"/>
          <w:color w:val="000000"/>
          <w:lang w:eastAsia="fi-FI"/>
        </w:rPr>
        <w:t>, I. Kunnamo </w:t>
      </w:r>
      <w:r w:rsidRPr="00593EB9">
        <w:rPr>
          <w:rFonts w:asciiTheme="minorHAnsi" w:hAnsiTheme="minorHAnsi" w:cstheme="minorHAnsi"/>
          <w:color w:val="000000"/>
          <w:vertAlign w:val="superscript"/>
          <w:lang w:eastAsia="fi-FI"/>
        </w:rPr>
        <w:t>2</w:t>
      </w:r>
      <w:r w:rsidRPr="00593EB9">
        <w:rPr>
          <w:rFonts w:asciiTheme="minorHAnsi" w:hAnsiTheme="minorHAnsi" w:cstheme="minorHAnsi"/>
          <w:color w:val="000000"/>
          <w:lang w:eastAsia="fi-FI"/>
        </w:rPr>
        <w:t>.</w:t>
      </w:r>
    </w:p>
    <w:p w:rsidR="00BC1BBC" w:rsidRPr="00593EB9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lang w:eastAsia="fi-FI"/>
        </w:rPr>
      </w:pPr>
    </w:p>
    <w:p w:rsidR="00BC1BBC" w:rsidRPr="00593EB9" w:rsidRDefault="00BC1BBC" w:rsidP="00BC1BBC">
      <w:pPr>
        <w:shd w:val="clear" w:color="auto" w:fill="FFFFFF"/>
        <w:rPr>
          <w:rFonts w:asciiTheme="minorHAnsi" w:hAnsiTheme="minorHAnsi" w:cstheme="minorHAnsi"/>
          <w:i/>
          <w:iCs/>
          <w:color w:val="000000"/>
          <w:shd w:val="clear" w:color="auto" w:fill="FFFFFF"/>
          <w:lang w:eastAsia="fi-FI"/>
        </w:rPr>
      </w:pPr>
      <w:r w:rsidRPr="00593EB9">
        <w:rPr>
          <w:rFonts w:asciiTheme="minorHAnsi" w:hAnsiTheme="minorHAnsi" w:cstheme="minorHAnsi"/>
          <w:i/>
          <w:iCs/>
          <w:color w:val="000000"/>
          <w:shd w:val="clear" w:color="auto" w:fill="FFFFFF"/>
          <w:vertAlign w:val="superscript"/>
          <w:lang w:eastAsia="fi-FI"/>
        </w:rPr>
        <w:t>1</w:t>
      </w:r>
      <w:r w:rsidRPr="00593EB9">
        <w:rPr>
          <w:rFonts w:asciiTheme="minorHAnsi" w:hAnsiTheme="minorHAnsi" w:cstheme="minorHAnsi"/>
          <w:i/>
          <w:iCs/>
          <w:color w:val="000000"/>
          <w:shd w:val="clear" w:color="auto" w:fill="FFFFFF"/>
          <w:lang w:eastAsia="fi-FI"/>
        </w:rPr>
        <w:t xml:space="preserve">EBSCO Health - Ipswich (United States), </w:t>
      </w:r>
      <w:r w:rsidRPr="00593EB9">
        <w:rPr>
          <w:rFonts w:asciiTheme="minorHAnsi" w:hAnsiTheme="minorHAnsi" w:cstheme="minorHAnsi"/>
          <w:i/>
          <w:iCs/>
          <w:color w:val="000000"/>
          <w:shd w:val="clear" w:color="auto" w:fill="FFFFFF"/>
          <w:vertAlign w:val="superscript"/>
          <w:lang w:eastAsia="fi-FI"/>
        </w:rPr>
        <w:t>2</w:t>
      </w:r>
      <w:r w:rsidRPr="00593EB9">
        <w:rPr>
          <w:rFonts w:asciiTheme="minorHAnsi" w:hAnsiTheme="minorHAnsi" w:cstheme="minorHAnsi"/>
          <w:i/>
          <w:iCs/>
          <w:color w:val="000000"/>
          <w:shd w:val="clear" w:color="auto" w:fill="FFFFFF"/>
          <w:lang w:eastAsia="fi-FI"/>
        </w:rPr>
        <w:t>Duodecim Medical Publications Ltd - Helsinki (Finland)</w:t>
      </w:r>
    </w:p>
    <w:p w:rsidR="00BC1BBC" w:rsidRPr="00593EB9" w:rsidRDefault="00BC1BBC" w:rsidP="00BC1BBC">
      <w:pPr>
        <w:spacing w:after="240"/>
        <w:rPr>
          <w:rFonts w:asciiTheme="minorHAnsi" w:hAnsiTheme="minorHAnsi" w:cstheme="minorHAnsi"/>
          <w:lang w:eastAsia="fi-FI"/>
        </w:rPr>
      </w:pPr>
    </w:p>
    <w:p w:rsidR="00BC1BBC" w:rsidRPr="00593EB9" w:rsidRDefault="00BC1BBC" w:rsidP="00BC1BBC">
      <w:pPr>
        <w:outlineLvl w:val="0"/>
        <w:rPr>
          <w:rFonts w:asciiTheme="minorHAnsi" w:hAnsiTheme="minorHAnsi" w:cstheme="minorHAnsi"/>
          <w:b/>
          <w:lang w:val="en-GB"/>
        </w:rPr>
      </w:pPr>
      <w:r w:rsidRPr="00593EB9">
        <w:rPr>
          <w:rFonts w:asciiTheme="minorHAnsi" w:hAnsiTheme="minorHAnsi" w:cstheme="minorHAnsi"/>
          <w:b/>
          <w:lang w:val="en-GB"/>
        </w:rPr>
        <w:t>Background &amp; Introduction</w:t>
      </w:r>
    </w:p>
    <w:p w:rsidR="00BC1BBC" w:rsidRDefault="00BC1BBC" w:rsidP="00BC1BBC">
      <w:pPr>
        <w:rPr>
          <w:rFonts w:asciiTheme="minorHAnsi" w:hAnsiTheme="minorHAnsi" w:cstheme="minorHAnsi"/>
          <w:lang w:val="en-GB"/>
        </w:rPr>
      </w:pPr>
    </w:p>
    <w:p w:rsidR="00BC1BBC" w:rsidRPr="00593EB9" w:rsidRDefault="00BC1BBC" w:rsidP="00BC1BBC">
      <w:pPr>
        <w:rPr>
          <w:rFonts w:asciiTheme="minorHAnsi" w:hAnsiTheme="minorHAnsi" w:cstheme="minorHAnsi"/>
          <w:lang w:val="en-GB"/>
        </w:rPr>
      </w:pPr>
      <w:r w:rsidRPr="00593EB9">
        <w:rPr>
          <w:rFonts w:asciiTheme="minorHAnsi" w:hAnsiTheme="minorHAnsi" w:cstheme="minorHAnsi"/>
          <w:lang w:val="en-GB"/>
        </w:rPr>
        <w:t xml:space="preserve">GINtech has long sought optimal use of technology for guideline developers and implementers. </w:t>
      </w:r>
      <w:r>
        <w:rPr>
          <w:rFonts w:asciiTheme="minorHAnsi" w:hAnsiTheme="minorHAnsi" w:cstheme="minorHAnsi"/>
          <w:lang w:val="en-GB"/>
        </w:rPr>
        <w:t xml:space="preserve"> T</w:t>
      </w:r>
      <w:r w:rsidRPr="00593EB9">
        <w:rPr>
          <w:rFonts w:asciiTheme="minorHAnsi" w:hAnsiTheme="minorHAnsi" w:cstheme="minorHAnsi"/>
          <w:lang w:val="en-GB"/>
        </w:rPr>
        <w:t xml:space="preserve">he Evidence Ecosystem </w:t>
      </w:r>
      <w:r>
        <w:rPr>
          <w:rFonts w:asciiTheme="minorHAnsi" w:hAnsiTheme="minorHAnsi" w:cstheme="minorHAnsi"/>
          <w:lang w:val="en-GB"/>
        </w:rPr>
        <w:t>image</w:t>
      </w:r>
      <w:r w:rsidRPr="00593EB9">
        <w:rPr>
          <w:rFonts w:asciiTheme="minorHAnsi" w:hAnsiTheme="minorHAnsi" w:cstheme="minorHAnsi"/>
          <w:lang w:val="en-GB"/>
        </w:rPr>
        <w:t xml:space="preserve"> visualize</w:t>
      </w:r>
      <w:r>
        <w:rPr>
          <w:rFonts w:asciiTheme="minorHAnsi" w:hAnsiTheme="minorHAnsi" w:cstheme="minorHAnsi"/>
          <w:lang w:val="en-GB"/>
        </w:rPr>
        <w:t>s</w:t>
      </w:r>
      <w:r w:rsidRPr="00593EB9">
        <w:rPr>
          <w:rFonts w:asciiTheme="minorHAnsi" w:hAnsiTheme="minorHAnsi" w:cstheme="minorHAnsi"/>
          <w:lang w:val="en-GB"/>
        </w:rPr>
        <w:t xml:space="preserve"> evidence production and application across interdependent systems, but </w:t>
      </w:r>
      <w:r>
        <w:rPr>
          <w:rFonts w:asciiTheme="minorHAnsi" w:hAnsiTheme="minorHAnsi" w:cstheme="minorHAnsi"/>
          <w:lang w:val="en-GB"/>
        </w:rPr>
        <w:t>scalable</w:t>
      </w:r>
      <w:r w:rsidRPr="00593EB9">
        <w:rPr>
          <w:rFonts w:asciiTheme="minorHAnsi" w:hAnsiTheme="minorHAnsi" w:cstheme="minorHAnsi"/>
          <w:lang w:val="en-GB"/>
        </w:rPr>
        <w:t xml:space="preserve"> methods to </w:t>
      </w:r>
      <w:r>
        <w:rPr>
          <w:rFonts w:asciiTheme="minorHAnsi" w:hAnsiTheme="minorHAnsi" w:cstheme="minorHAnsi"/>
          <w:lang w:val="en-GB"/>
        </w:rPr>
        <w:t>enable data flow between systems do not yet exist</w:t>
      </w:r>
      <w:r w:rsidRPr="00593EB9">
        <w:rPr>
          <w:rFonts w:asciiTheme="minorHAnsi" w:hAnsiTheme="minorHAnsi" w:cstheme="minorHAnsi"/>
          <w:lang w:val="en-GB"/>
        </w:rPr>
        <w:t>. Electronic Health Record (EHR) developers and implementers coordinated global</w:t>
      </w:r>
      <w:r>
        <w:rPr>
          <w:rFonts w:asciiTheme="minorHAnsi" w:hAnsiTheme="minorHAnsi" w:cstheme="minorHAnsi"/>
          <w:lang w:val="en-GB"/>
        </w:rPr>
        <w:t xml:space="preserve"> collaboration</w:t>
      </w:r>
      <w:r w:rsidRPr="00593EB9">
        <w:rPr>
          <w:rFonts w:asciiTheme="minorHAnsi" w:hAnsiTheme="minorHAnsi" w:cstheme="minorHAnsi"/>
          <w:lang w:val="en-GB"/>
        </w:rPr>
        <w:t xml:space="preserve"> to facilitate scalable </w:t>
      </w:r>
      <w:r>
        <w:rPr>
          <w:rFonts w:asciiTheme="minorHAnsi" w:hAnsiTheme="minorHAnsi" w:cstheme="minorHAnsi"/>
          <w:lang w:val="en-GB"/>
        </w:rPr>
        <w:t>data exchange methods</w:t>
      </w:r>
      <w:r w:rsidRPr="00593EB9">
        <w:rPr>
          <w:rFonts w:asciiTheme="minorHAnsi" w:hAnsiTheme="minorHAnsi" w:cstheme="minorHAnsi"/>
          <w:lang w:val="en-GB"/>
        </w:rPr>
        <w:t xml:space="preserve"> using Fast Healthcare Interoperab</w:t>
      </w:r>
      <w:r>
        <w:rPr>
          <w:rFonts w:asciiTheme="minorHAnsi" w:hAnsiTheme="minorHAnsi" w:cstheme="minorHAnsi"/>
          <w:lang w:val="en-GB"/>
        </w:rPr>
        <w:t>ility</w:t>
      </w:r>
      <w:r w:rsidRPr="00593EB9">
        <w:rPr>
          <w:rFonts w:asciiTheme="minorHAnsi" w:hAnsiTheme="minorHAnsi" w:cstheme="minorHAnsi"/>
          <w:lang w:val="en-GB"/>
        </w:rPr>
        <w:t xml:space="preserve"> Resources (FHIR). FHIR could be adapted to make evidence </w:t>
      </w:r>
      <w:r>
        <w:rPr>
          <w:rFonts w:asciiTheme="minorHAnsi" w:hAnsiTheme="minorHAnsi" w:cstheme="minorHAnsi"/>
          <w:lang w:val="en-GB"/>
        </w:rPr>
        <w:t>and guideline knowledge components</w:t>
      </w:r>
      <w:r w:rsidRPr="00593EB9">
        <w:rPr>
          <w:rFonts w:asciiTheme="minorHAnsi" w:hAnsiTheme="minorHAnsi" w:cstheme="minorHAnsi"/>
          <w:lang w:val="en-GB"/>
        </w:rPr>
        <w:t xml:space="preserve"> interoperable (EBMonFHIR)</w:t>
      </w:r>
      <w:r>
        <w:rPr>
          <w:rFonts w:asciiTheme="minorHAnsi" w:hAnsiTheme="minorHAnsi" w:cstheme="minorHAnsi"/>
          <w:lang w:val="en-GB"/>
        </w:rPr>
        <w:t xml:space="preserve"> and easily usable for clinical decision support (CDS)</w:t>
      </w:r>
      <w:r w:rsidRPr="00593EB9">
        <w:rPr>
          <w:rFonts w:asciiTheme="minorHAnsi" w:hAnsiTheme="minorHAnsi" w:cstheme="minorHAnsi"/>
          <w:lang w:val="en-GB"/>
        </w:rPr>
        <w:t>.</w:t>
      </w:r>
    </w:p>
    <w:p w:rsidR="00BC1BBC" w:rsidRPr="00593EB9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lang w:eastAsia="fi-FI"/>
        </w:rPr>
      </w:pPr>
    </w:p>
    <w:p w:rsidR="00BC1BBC" w:rsidRPr="00593EB9" w:rsidRDefault="00BC1BBC" w:rsidP="00BC1BB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lang w:eastAsia="fi-FI"/>
        </w:rPr>
      </w:pPr>
      <w:r w:rsidRPr="00593EB9">
        <w:rPr>
          <w:rFonts w:asciiTheme="minorHAnsi" w:hAnsiTheme="minorHAnsi" w:cstheme="minorHAnsi"/>
          <w:b/>
          <w:bCs/>
          <w:color w:val="000000"/>
          <w:lang w:eastAsia="fi-FI"/>
        </w:rPr>
        <w:t>Objectives / Goal</w:t>
      </w:r>
    </w:p>
    <w:p w:rsidR="00BC1BBC" w:rsidRPr="00593EB9" w:rsidRDefault="00BC1BBC" w:rsidP="00BC1BBC">
      <w:pPr>
        <w:spacing w:after="240"/>
        <w:rPr>
          <w:rFonts w:asciiTheme="minorHAnsi" w:hAnsiTheme="minorHAnsi" w:cstheme="minorHAnsi"/>
          <w:lang w:eastAsia="fi-FI"/>
        </w:rPr>
      </w:pPr>
      <w:r>
        <w:rPr>
          <w:rFonts w:asciiTheme="minorHAnsi" w:hAnsiTheme="minorHAnsi" w:cstheme="minorHAnsi"/>
          <w:lang w:eastAsia="fi-FI"/>
        </w:rPr>
        <w:t xml:space="preserve">Involve evidence and guideline producers and implementers in a collaborative process for developing a standard for evidence interoperability that has the potential to be used globally. </w:t>
      </w:r>
    </w:p>
    <w:p w:rsidR="00BC1BBC" w:rsidRPr="00593EB9" w:rsidRDefault="00BC1BBC" w:rsidP="00BC1BB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lang w:eastAsia="fi-FI"/>
        </w:rPr>
      </w:pPr>
      <w:r w:rsidRPr="00593EB9">
        <w:rPr>
          <w:rFonts w:asciiTheme="minorHAnsi" w:hAnsiTheme="minorHAnsi" w:cstheme="minorHAnsi"/>
          <w:b/>
          <w:bCs/>
          <w:color w:val="000000"/>
          <w:lang w:eastAsia="fi-FI"/>
        </w:rPr>
        <w:t>Methods</w:t>
      </w:r>
    </w:p>
    <w:p w:rsidR="00BC1BBC" w:rsidRPr="00593EB9" w:rsidRDefault="00BC1BBC" w:rsidP="00BC1BBC">
      <w:pPr>
        <w:rPr>
          <w:rFonts w:asciiTheme="minorHAnsi" w:hAnsiTheme="minorHAnsi" w:cstheme="minorHAnsi"/>
          <w:lang w:val="en-GB"/>
        </w:rPr>
      </w:pPr>
      <w:r w:rsidRPr="00593EB9">
        <w:rPr>
          <w:rFonts w:asciiTheme="minorHAnsi" w:hAnsiTheme="minorHAnsi" w:cstheme="minorHAnsi"/>
          <w:lang w:val="en-GB"/>
        </w:rPr>
        <w:t xml:space="preserve">We will introduce FHIR and how it </w:t>
      </w:r>
      <w:r>
        <w:rPr>
          <w:rFonts w:asciiTheme="minorHAnsi" w:hAnsiTheme="minorHAnsi" w:cstheme="minorHAnsi"/>
          <w:lang w:val="en-GB"/>
        </w:rPr>
        <w:t xml:space="preserve">rapidly </w:t>
      </w:r>
      <w:r w:rsidRPr="00593EB9">
        <w:rPr>
          <w:rFonts w:asciiTheme="minorHAnsi" w:hAnsiTheme="minorHAnsi" w:cstheme="minorHAnsi"/>
          <w:lang w:val="en-GB"/>
        </w:rPr>
        <w:t xml:space="preserve">developed </w:t>
      </w:r>
      <w:r>
        <w:rPr>
          <w:rFonts w:asciiTheme="minorHAnsi" w:hAnsiTheme="minorHAnsi" w:cstheme="minorHAnsi"/>
          <w:lang w:val="en-GB"/>
        </w:rPr>
        <w:t>into</w:t>
      </w:r>
      <w:r w:rsidRPr="00593EB9">
        <w:rPr>
          <w:rFonts w:asciiTheme="minorHAnsi" w:hAnsiTheme="minorHAnsi" w:cstheme="minorHAnsi"/>
          <w:lang w:val="en-GB"/>
        </w:rPr>
        <w:t xml:space="preserve"> a</w:t>
      </w:r>
      <w:r>
        <w:rPr>
          <w:rFonts w:asciiTheme="minorHAnsi" w:hAnsiTheme="minorHAnsi" w:cstheme="minorHAnsi"/>
          <w:lang w:val="en-GB"/>
        </w:rPr>
        <w:t xml:space="preserve"> highly used</w:t>
      </w:r>
      <w:r w:rsidRPr="00593EB9">
        <w:rPr>
          <w:rFonts w:asciiTheme="minorHAnsi" w:hAnsiTheme="minorHAnsi" w:cstheme="minorHAnsi"/>
          <w:lang w:val="en-GB"/>
        </w:rPr>
        <w:t xml:space="preserve"> international standard. Participants can contribute directly to FHIR adaptations for </w:t>
      </w:r>
      <w:r>
        <w:rPr>
          <w:rFonts w:asciiTheme="minorHAnsi" w:hAnsiTheme="minorHAnsi" w:cstheme="minorHAnsi"/>
          <w:lang w:val="en-GB"/>
        </w:rPr>
        <w:t>evidence synthesizers</w:t>
      </w:r>
      <w:r w:rsidRPr="00593EB9">
        <w:rPr>
          <w:rFonts w:asciiTheme="minorHAnsi" w:hAnsiTheme="minorHAnsi" w:cstheme="minorHAnsi"/>
          <w:lang w:val="en-GB"/>
        </w:rPr>
        <w:t xml:space="preserve"> and guideline developers, and join a group</w:t>
      </w:r>
      <w:r>
        <w:rPr>
          <w:rFonts w:asciiTheme="minorHAnsi" w:hAnsiTheme="minorHAnsi" w:cstheme="minorHAnsi"/>
          <w:lang w:val="en-GB"/>
        </w:rPr>
        <w:t xml:space="preserve"> for continuing effort</w:t>
      </w:r>
      <w:r w:rsidRPr="00593EB9">
        <w:rPr>
          <w:rFonts w:asciiTheme="minorHAnsi" w:hAnsiTheme="minorHAnsi" w:cstheme="minorHAnsi"/>
          <w:lang w:val="en-GB"/>
        </w:rPr>
        <w:t xml:space="preserve"> to develop EBMonFHIR.</w:t>
      </w:r>
    </w:p>
    <w:p w:rsidR="00BC1BBC" w:rsidRPr="00593EB9" w:rsidRDefault="00BC1BBC" w:rsidP="00BC1BBC">
      <w:pPr>
        <w:spacing w:after="240"/>
        <w:rPr>
          <w:rFonts w:asciiTheme="minorHAnsi" w:hAnsiTheme="minorHAnsi" w:cstheme="minorHAnsi"/>
          <w:lang w:eastAsia="fi-FI"/>
        </w:rPr>
      </w:pPr>
    </w:p>
    <w:p w:rsidR="00BC1BBC" w:rsidRPr="00593EB9" w:rsidRDefault="00BC1BBC" w:rsidP="00BC1BB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lang w:eastAsia="fi-FI"/>
        </w:rPr>
      </w:pPr>
      <w:r w:rsidRPr="00593EB9">
        <w:rPr>
          <w:rFonts w:asciiTheme="minorHAnsi" w:hAnsiTheme="minorHAnsi" w:cstheme="minorHAnsi"/>
          <w:b/>
          <w:bCs/>
          <w:color w:val="000000"/>
          <w:lang w:eastAsia="fi-FI"/>
        </w:rPr>
        <w:t>Results &amp; Discussion</w:t>
      </w:r>
    </w:p>
    <w:p w:rsidR="00BC1BBC" w:rsidRPr="00593EB9" w:rsidRDefault="00BC1BBC" w:rsidP="00BC1BBC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r</w:t>
      </w:r>
      <w:r w:rsidRPr="00593EB9">
        <w:rPr>
          <w:rFonts w:asciiTheme="minorHAnsi" w:hAnsiTheme="minorHAnsi" w:cstheme="minorHAnsi"/>
          <w:lang w:val="en-GB"/>
        </w:rPr>
        <w:t xml:space="preserve">esult will be a refined listing of the data elements that evidence processers need to receive or transmit for an interoperable ecosystem.  </w:t>
      </w:r>
    </w:p>
    <w:p w:rsidR="00BC1BBC" w:rsidRPr="00593EB9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lang w:eastAsia="fi-FI"/>
        </w:rPr>
      </w:pPr>
    </w:p>
    <w:p w:rsidR="00BC1BBC" w:rsidRPr="00593EB9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lang w:eastAsia="fi-FI"/>
        </w:rPr>
      </w:pPr>
      <w:r w:rsidRPr="00593EB9">
        <w:rPr>
          <w:rFonts w:asciiTheme="minorHAnsi" w:hAnsiTheme="minorHAnsi" w:cstheme="minorHAnsi"/>
          <w:color w:val="000000"/>
          <w:lang w:eastAsia="fi-FI"/>
        </w:rPr>
        <w:t>The material and results of the workshop are available here:  http://bit.ly/2JCg3A3</w:t>
      </w:r>
    </w:p>
    <w:p w:rsidR="00BC1BBC" w:rsidRPr="00593EB9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lang w:eastAsia="fi-FI"/>
        </w:rPr>
      </w:pPr>
    </w:p>
    <w:p w:rsidR="00BC1BBC" w:rsidRPr="00593EB9" w:rsidRDefault="00BC1BBC" w:rsidP="00BC1BB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lang w:eastAsia="fi-FI"/>
        </w:rPr>
      </w:pPr>
      <w:r w:rsidRPr="00593EB9">
        <w:rPr>
          <w:rFonts w:asciiTheme="minorHAnsi" w:hAnsiTheme="minorHAnsi" w:cstheme="minorHAnsi"/>
          <w:b/>
          <w:bCs/>
          <w:color w:val="000000"/>
          <w:lang w:eastAsia="fi-FI"/>
        </w:rPr>
        <w:t>Implications for guideline developers / users</w:t>
      </w:r>
    </w:p>
    <w:p w:rsidR="00BC1BBC" w:rsidRPr="00593EB9" w:rsidRDefault="00BC1BBC" w:rsidP="00BC1BBC">
      <w:pPr>
        <w:rPr>
          <w:rFonts w:asciiTheme="minorHAnsi" w:hAnsiTheme="minorHAnsi" w:cstheme="minorHAnsi"/>
          <w:lang w:val="en-GB"/>
        </w:rPr>
      </w:pPr>
      <w:r w:rsidRPr="00593EB9">
        <w:rPr>
          <w:rFonts w:asciiTheme="minorHAnsi" w:hAnsiTheme="minorHAnsi" w:cstheme="minorHAnsi"/>
          <w:lang w:val="en-GB"/>
        </w:rPr>
        <w:t xml:space="preserve">Guideline developers and tool developers can </w:t>
      </w:r>
      <w:r>
        <w:rPr>
          <w:rFonts w:asciiTheme="minorHAnsi" w:hAnsiTheme="minorHAnsi" w:cstheme="minorHAnsi"/>
          <w:lang w:val="en-GB"/>
        </w:rPr>
        <w:t>get engaged using</w:t>
      </w:r>
      <w:r w:rsidRPr="00593EB9">
        <w:rPr>
          <w:rFonts w:asciiTheme="minorHAnsi" w:hAnsiTheme="minorHAnsi" w:cstheme="minorHAnsi"/>
          <w:lang w:val="en-GB"/>
        </w:rPr>
        <w:t xml:space="preserve"> the </w:t>
      </w:r>
      <w:r>
        <w:rPr>
          <w:rFonts w:asciiTheme="minorHAnsi" w:hAnsiTheme="minorHAnsi" w:cstheme="minorHAnsi"/>
          <w:lang w:val="en-GB"/>
        </w:rPr>
        <w:t xml:space="preserve">EBMonFHIR </w:t>
      </w:r>
      <w:r w:rsidRPr="00593EB9">
        <w:rPr>
          <w:rFonts w:asciiTheme="minorHAnsi" w:hAnsiTheme="minorHAnsi" w:cstheme="minorHAnsi"/>
          <w:lang w:val="en-GB"/>
        </w:rPr>
        <w:t>method to develop interoperab</w:t>
      </w:r>
      <w:r>
        <w:rPr>
          <w:rFonts w:asciiTheme="minorHAnsi" w:hAnsiTheme="minorHAnsi" w:cstheme="minorHAnsi"/>
          <w:lang w:val="en-GB"/>
        </w:rPr>
        <w:t>ility</w:t>
      </w:r>
      <w:r w:rsidRPr="00593EB9">
        <w:rPr>
          <w:rFonts w:asciiTheme="minorHAnsi" w:hAnsiTheme="minorHAnsi" w:cstheme="minorHAnsi"/>
          <w:lang w:val="en-GB"/>
        </w:rPr>
        <w:t xml:space="preserve"> solutions </w:t>
      </w:r>
      <w:r>
        <w:rPr>
          <w:rFonts w:asciiTheme="minorHAnsi" w:hAnsiTheme="minorHAnsi" w:cstheme="minorHAnsi"/>
          <w:lang w:val="en-GB"/>
        </w:rPr>
        <w:t>for</w:t>
      </w:r>
      <w:r w:rsidRPr="00593EB9">
        <w:rPr>
          <w:rFonts w:asciiTheme="minorHAnsi" w:hAnsiTheme="minorHAnsi" w:cstheme="minorHAnsi"/>
          <w:lang w:val="en-GB"/>
        </w:rPr>
        <w:t xml:space="preserve"> the guideline </w:t>
      </w:r>
      <w:r>
        <w:rPr>
          <w:rFonts w:asciiTheme="minorHAnsi" w:hAnsiTheme="minorHAnsi" w:cstheme="minorHAnsi"/>
          <w:lang w:val="en-GB"/>
        </w:rPr>
        <w:t>and</w:t>
      </w:r>
      <w:r w:rsidRPr="00593EB9">
        <w:rPr>
          <w:rFonts w:asciiTheme="minorHAnsi" w:hAnsiTheme="minorHAnsi" w:cstheme="minorHAnsi"/>
          <w:lang w:val="en-GB"/>
        </w:rPr>
        <w:t xml:space="preserve"> CDS communit</w:t>
      </w:r>
      <w:r>
        <w:rPr>
          <w:rFonts w:asciiTheme="minorHAnsi" w:hAnsiTheme="minorHAnsi" w:cstheme="minorHAnsi"/>
          <w:lang w:val="en-GB"/>
        </w:rPr>
        <w:t>ies</w:t>
      </w:r>
      <w:r w:rsidRPr="00593EB9">
        <w:rPr>
          <w:rFonts w:asciiTheme="minorHAnsi" w:hAnsiTheme="minorHAnsi" w:cstheme="minorHAnsi"/>
          <w:lang w:val="en-GB"/>
        </w:rPr>
        <w:t>.</w:t>
      </w:r>
    </w:p>
    <w:p w:rsidR="00BC1BBC" w:rsidRPr="00593EB9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lang w:eastAsia="fi-FI"/>
        </w:rPr>
      </w:pPr>
    </w:p>
    <w:p w:rsidR="00BC1BBC" w:rsidRPr="00593EB9" w:rsidRDefault="00BC1BBC" w:rsidP="00BC1BB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lang w:eastAsia="fi-FI"/>
        </w:rPr>
      </w:pPr>
      <w:r w:rsidRPr="00593EB9">
        <w:rPr>
          <w:rFonts w:asciiTheme="minorHAnsi" w:hAnsiTheme="minorHAnsi" w:cstheme="minorHAnsi"/>
          <w:b/>
          <w:bCs/>
          <w:color w:val="000000"/>
          <w:lang w:eastAsia="fi-FI"/>
        </w:rPr>
        <w:t>Conclusion</w:t>
      </w:r>
    </w:p>
    <w:p w:rsidR="00BC1BBC" w:rsidRPr="00593EB9" w:rsidRDefault="00BC1BBC" w:rsidP="00BC1BBC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EBMonFHIR can be a standard for structured representation of medical knowledge.  </w:t>
      </w:r>
      <w:r w:rsidRPr="00593EB9">
        <w:rPr>
          <w:rFonts w:asciiTheme="minorHAnsi" w:hAnsiTheme="minorHAnsi" w:cstheme="minorHAnsi"/>
          <w:lang w:val="en-GB"/>
        </w:rPr>
        <w:t>Coordination with the FHIR standard for interoperable patient data will greatly facilitate implementation of evidence and guidelines through</w:t>
      </w:r>
      <w:r>
        <w:rPr>
          <w:rFonts w:asciiTheme="minorHAnsi" w:hAnsiTheme="minorHAnsi" w:cstheme="minorHAnsi"/>
          <w:lang w:val="en-GB"/>
        </w:rPr>
        <w:t xml:space="preserve"> CDS</w:t>
      </w:r>
      <w:r w:rsidRPr="00593EB9">
        <w:rPr>
          <w:rFonts w:asciiTheme="minorHAnsi" w:hAnsiTheme="minorHAnsi" w:cstheme="minorHAnsi"/>
          <w:lang w:val="en-GB"/>
        </w:rPr>
        <w:t xml:space="preserve">. </w:t>
      </w:r>
    </w:p>
    <w:p w:rsidR="00BC1BBC" w:rsidRPr="00593EB9" w:rsidRDefault="00BC1BBC" w:rsidP="00BC1BBC">
      <w:pPr>
        <w:spacing w:after="240"/>
        <w:rPr>
          <w:rFonts w:asciiTheme="minorHAnsi" w:hAnsiTheme="minorHAnsi" w:cstheme="minorHAnsi"/>
          <w:lang w:eastAsia="fi-FI"/>
        </w:rPr>
      </w:pPr>
    </w:p>
    <w:p w:rsidR="00BC1BBC" w:rsidRPr="00593EB9" w:rsidRDefault="00BC1BBC" w:rsidP="00BC1BB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lang w:eastAsia="fi-FI"/>
        </w:rPr>
      </w:pPr>
      <w:r w:rsidRPr="00593EB9">
        <w:rPr>
          <w:rFonts w:asciiTheme="minorHAnsi" w:hAnsiTheme="minorHAnsi" w:cstheme="minorHAnsi"/>
          <w:b/>
          <w:bCs/>
          <w:color w:val="000000"/>
          <w:lang w:eastAsia="fi-FI"/>
        </w:rPr>
        <w:t>Description of the workshop</w:t>
      </w:r>
    </w:p>
    <w:p w:rsidR="00BC1BBC" w:rsidRPr="00593EB9" w:rsidRDefault="00BC1BBC" w:rsidP="00BC1BBC">
      <w:pPr>
        <w:rPr>
          <w:rFonts w:asciiTheme="minorHAnsi" w:hAnsiTheme="minorHAnsi" w:cstheme="minorHAnsi"/>
          <w:lang w:val="en-GB"/>
        </w:rPr>
      </w:pPr>
      <w:r w:rsidRPr="00593EB9">
        <w:rPr>
          <w:rFonts w:asciiTheme="minorHAnsi" w:hAnsiTheme="minorHAnsi" w:cstheme="minorHAnsi"/>
          <w:lang w:val="en-GB"/>
        </w:rPr>
        <w:t xml:space="preserve">An informative </w:t>
      </w:r>
      <w:r>
        <w:rPr>
          <w:rFonts w:asciiTheme="minorHAnsi" w:hAnsiTheme="minorHAnsi" w:cstheme="minorHAnsi"/>
          <w:lang w:val="en-GB"/>
        </w:rPr>
        <w:t>introduction followed by</w:t>
      </w:r>
      <w:r w:rsidRPr="00593EB9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group work where</w:t>
      </w:r>
      <w:r w:rsidRPr="00593EB9">
        <w:rPr>
          <w:rFonts w:asciiTheme="minorHAnsi" w:hAnsiTheme="minorHAnsi" w:cstheme="minorHAnsi"/>
          <w:lang w:val="en-GB"/>
        </w:rPr>
        <w:t xml:space="preserve"> participants directly engage in refining data standards for interoperable communication across the Evidence Ecosystem.</w:t>
      </w:r>
    </w:p>
    <w:p w:rsidR="00BC1BBC" w:rsidRPr="00593EB9" w:rsidRDefault="00BC1BBC" w:rsidP="00BC1BBC">
      <w:pPr>
        <w:shd w:val="clear" w:color="auto" w:fill="FFFFFF"/>
        <w:rPr>
          <w:rFonts w:asciiTheme="minorHAnsi" w:hAnsiTheme="minorHAnsi" w:cstheme="minorHAnsi"/>
          <w:color w:val="000000"/>
          <w:lang w:eastAsia="fi-FI"/>
        </w:rPr>
      </w:pPr>
    </w:p>
    <w:p w:rsidR="00BC1BBC" w:rsidRPr="00593EB9" w:rsidRDefault="00BC1BBC" w:rsidP="00BC1BB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lang w:eastAsia="fi-FI"/>
        </w:rPr>
      </w:pPr>
      <w:r w:rsidRPr="00593EB9">
        <w:rPr>
          <w:rFonts w:asciiTheme="minorHAnsi" w:hAnsiTheme="minorHAnsi" w:cstheme="minorHAnsi"/>
          <w:b/>
          <w:bCs/>
          <w:color w:val="000000"/>
          <w:lang w:eastAsia="fi-FI"/>
        </w:rPr>
        <w:t>Target Group</w:t>
      </w:r>
    </w:p>
    <w:p w:rsidR="00BC1BBC" w:rsidRPr="00593EB9" w:rsidRDefault="00BC1BBC" w:rsidP="00BC1BBC">
      <w:pPr>
        <w:rPr>
          <w:rFonts w:asciiTheme="minorHAnsi" w:hAnsiTheme="minorHAnsi" w:cstheme="minorHAnsi"/>
          <w:lang w:val="en-GB"/>
        </w:rPr>
      </w:pPr>
      <w:r w:rsidRPr="00593EB9">
        <w:rPr>
          <w:rFonts w:asciiTheme="minorHAnsi" w:hAnsiTheme="minorHAnsi" w:cstheme="minorHAnsi"/>
          <w:lang w:val="en-GB"/>
        </w:rPr>
        <w:t xml:space="preserve">Guideline developers and tool developers with an interest in digitization of content and learning how </w:t>
      </w:r>
      <w:r>
        <w:rPr>
          <w:rFonts w:asciiTheme="minorHAnsi" w:hAnsiTheme="minorHAnsi" w:cstheme="minorHAnsi"/>
          <w:lang w:val="en-GB"/>
        </w:rPr>
        <w:t xml:space="preserve">this will help in integrating </w:t>
      </w:r>
      <w:r w:rsidRPr="00593EB9">
        <w:rPr>
          <w:rFonts w:asciiTheme="minorHAnsi" w:hAnsiTheme="minorHAnsi" w:cstheme="minorHAnsi"/>
          <w:lang w:val="en-GB"/>
        </w:rPr>
        <w:t>guidelines with EHRs.</w:t>
      </w:r>
    </w:p>
    <w:p w:rsidR="00BC1BBC" w:rsidRPr="00593EB9" w:rsidRDefault="00BC1BBC" w:rsidP="00BC1BBC">
      <w:pPr>
        <w:rPr>
          <w:rFonts w:asciiTheme="minorHAnsi" w:hAnsiTheme="minorHAnsi" w:cstheme="minorHAnsi"/>
          <w:lang w:val="en-GB"/>
        </w:rPr>
      </w:pPr>
    </w:p>
    <w:p w:rsidR="00BC1BBC" w:rsidRPr="00593EB9" w:rsidRDefault="00BC1BBC" w:rsidP="00BC1BBC">
      <w:pPr>
        <w:rPr>
          <w:rFonts w:asciiTheme="minorHAnsi" w:hAnsiTheme="minorHAnsi" w:cstheme="minorHAnsi"/>
          <w:lang w:val="en-GB"/>
        </w:rPr>
      </w:pPr>
    </w:p>
    <w:p w:rsidR="00BC1BBC" w:rsidRPr="00593EB9" w:rsidRDefault="00BC1BBC" w:rsidP="00BC1BBC">
      <w:pPr>
        <w:rPr>
          <w:rFonts w:asciiTheme="minorHAnsi" w:hAnsiTheme="minorHAnsi" w:cstheme="minorHAnsi"/>
          <w:lang w:val="en-GB"/>
        </w:rPr>
      </w:pPr>
    </w:p>
    <w:p w:rsidR="00BC1BBC" w:rsidRPr="00593EB9" w:rsidRDefault="00BC1BBC" w:rsidP="00BC1BBC">
      <w:pPr>
        <w:rPr>
          <w:rFonts w:asciiTheme="minorHAnsi" w:hAnsiTheme="minorHAnsi" w:cstheme="minorHAnsi"/>
          <w:lang w:val="en-GB"/>
        </w:rPr>
      </w:pPr>
    </w:p>
    <w:p w:rsidR="00BC1BBC" w:rsidRPr="00593EB9" w:rsidRDefault="00BC1BBC" w:rsidP="00BC1BBC">
      <w:pPr>
        <w:rPr>
          <w:rFonts w:asciiTheme="minorHAnsi" w:hAnsiTheme="minorHAnsi" w:cstheme="minorHAnsi"/>
          <w:lang w:val="en-GB"/>
        </w:rPr>
      </w:pPr>
      <w:r w:rsidRPr="00593EB9">
        <w:rPr>
          <w:rFonts w:asciiTheme="minorHAnsi" w:hAnsiTheme="minorHAnsi" w:cstheme="minorHAnsi"/>
          <w:noProof/>
        </w:rPr>
        <w:drawing>
          <wp:inline distT="0" distB="0" distL="0" distR="0" wp14:anchorId="35A85EB2" wp14:editId="1745AC0E">
            <wp:extent cx="4697186" cy="3479397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263" cy="348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BC" w:rsidRDefault="00BC1BBC" w:rsidP="00BC1BB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C1BBC" w:rsidRDefault="00BC1BBC" w:rsidP="00BC1BBC">
      <w:pPr>
        <w:rPr>
          <w:sz w:val="36"/>
          <w:szCs w:val="36"/>
        </w:rPr>
      </w:pPr>
      <w:r>
        <w:rPr>
          <w:sz w:val="36"/>
          <w:szCs w:val="36"/>
        </w:rPr>
        <w:lastRenderedPageBreak/>
        <w:t>Some basic steps to extend FHIR to support EBM:</w:t>
      </w:r>
    </w:p>
    <w:p w:rsidR="00BC1BBC" w:rsidRDefault="00BC1BBC" w:rsidP="00BC1BBC">
      <w:pPr>
        <w:rPr>
          <w:sz w:val="36"/>
          <w:szCs w:val="36"/>
        </w:rPr>
      </w:pPr>
    </w:p>
    <w:p w:rsidR="00BC1BBC" w:rsidRDefault="00BC1BBC" w:rsidP="00BC1BBC">
      <w:pPr>
        <w:rPr>
          <w:sz w:val="36"/>
          <w:szCs w:val="36"/>
        </w:rPr>
      </w:pPr>
      <w:r w:rsidRPr="00721777">
        <w:rPr>
          <w:sz w:val="36"/>
          <w:szCs w:val="36"/>
        </w:rPr>
        <w:t>FHIR is fundamen</w:t>
      </w:r>
      <w:r>
        <w:rPr>
          <w:sz w:val="36"/>
          <w:szCs w:val="36"/>
        </w:rPr>
        <w:t>tally an exchange specification.</w:t>
      </w:r>
    </w:p>
    <w:p w:rsidR="00BC1BBC" w:rsidRPr="00721777" w:rsidRDefault="00BC1BBC" w:rsidP="00BC1BBC">
      <w:pPr>
        <w:rPr>
          <w:sz w:val="36"/>
          <w:szCs w:val="36"/>
        </w:rPr>
      </w:pPr>
    </w:p>
    <w:p w:rsidR="00BC1BBC" w:rsidRDefault="00BC1BBC" w:rsidP="00BC1BBC">
      <w:pPr>
        <w:rPr>
          <w:sz w:val="36"/>
          <w:szCs w:val="36"/>
        </w:rPr>
      </w:pPr>
      <w:r w:rsidRPr="00721777">
        <w:rPr>
          <w:sz w:val="36"/>
          <w:szCs w:val="36"/>
        </w:rPr>
        <w:t xml:space="preserve">What systems do we envision needing </w:t>
      </w:r>
      <w:r>
        <w:rPr>
          <w:sz w:val="36"/>
          <w:szCs w:val="36"/>
        </w:rPr>
        <w:t>to exchange the</w:t>
      </w:r>
      <w:r w:rsidRPr="00721777">
        <w:rPr>
          <w:sz w:val="36"/>
          <w:szCs w:val="36"/>
        </w:rPr>
        <w:t xml:space="preserve"> data?</w:t>
      </w:r>
    </w:p>
    <w:p w:rsidR="00BC1BBC" w:rsidRPr="00721777" w:rsidRDefault="00BC1BBC" w:rsidP="00BC1BBC">
      <w:pPr>
        <w:rPr>
          <w:sz w:val="36"/>
          <w:szCs w:val="36"/>
        </w:rPr>
      </w:pPr>
    </w:p>
    <w:p w:rsidR="00BC1BBC" w:rsidRDefault="00BC1BBC" w:rsidP="00BC1BBC">
      <w:pPr>
        <w:rPr>
          <w:sz w:val="36"/>
          <w:szCs w:val="36"/>
        </w:rPr>
      </w:pPr>
      <w:r w:rsidRPr="00721777">
        <w:rPr>
          <w:sz w:val="36"/>
          <w:szCs w:val="36"/>
        </w:rPr>
        <w:t xml:space="preserve">What </w:t>
      </w:r>
      <w:r>
        <w:rPr>
          <w:sz w:val="36"/>
          <w:szCs w:val="36"/>
        </w:rPr>
        <w:t>data</w:t>
      </w:r>
      <w:r w:rsidRPr="00721777">
        <w:rPr>
          <w:sz w:val="36"/>
          <w:szCs w:val="36"/>
        </w:rPr>
        <w:t xml:space="preserve"> need</w:t>
      </w:r>
      <w:r>
        <w:rPr>
          <w:sz w:val="36"/>
          <w:szCs w:val="36"/>
        </w:rPr>
        <w:t>s</w:t>
      </w:r>
      <w:r w:rsidRPr="00721777">
        <w:rPr>
          <w:sz w:val="36"/>
          <w:szCs w:val="36"/>
        </w:rPr>
        <w:t xml:space="preserve"> to be exchanged?</w:t>
      </w:r>
      <w:r>
        <w:rPr>
          <w:sz w:val="36"/>
          <w:szCs w:val="36"/>
        </w:rPr>
        <w:t xml:space="preserve">  How will it be used?</w:t>
      </w:r>
    </w:p>
    <w:p w:rsidR="00BC1BBC" w:rsidRDefault="00BC1BBC" w:rsidP="00BC1BBC">
      <w:pPr>
        <w:rPr>
          <w:sz w:val="36"/>
          <w:szCs w:val="36"/>
        </w:rPr>
      </w:pPr>
    </w:p>
    <w:p w:rsidR="00BC1BBC" w:rsidRDefault="00BC1BBC" w:rsidP="00BC1BBC">
      <w:pPr>
        <w:rPr>
          <w:sz w:val="36"/>
          <w:szCs w:val="36"/>
        </w:rPr>
      </w:pPr>
      <w:r>
        <w:rPr>
          <w:sz w:val="36"/>
          <w:szCs w:val="36"/>
        </w:rPr>
        <w:t>Are the data concepts to be exchanged discrete shareable reusable units (resources) or facets of shareable units (attributes)?</w:t>
      </w:r>
    </w:p>
    <w:p w:rsidR="00BC1BBC" w:rsidRDefault="00BC1BBC" w:rsidP="00BC1B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C1BBC" w:rsidRDefault="00BC1BBC" w:rsidP="00BC1B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Structured data = metadata about the evidence (and guidance)</w:t>
      </w:r>
    </w:p>
    <w:p w:rsidR="00BC1BBC" w:rsidRDefault="00BC1BBC" w:rsidP="00BC1B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Limited uses in FHIR today but some data elements that could be built off of – need to determien what they are and if they fit well as this develops</w:t>
      </w:r>
    </w:p>
    <w:p w:rsidR="00BC1BBC" w:rsidRDefault="00BC1BBC" w:rsidP="00BC1B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Lost structure when mapping supporting evidence resources to FHIR for order sets.  Too much generalization.  Extensions to close the gaps not defined yet.</w:t>
      </w:r>
    </w:p>
    <w:p w:rsidR="00BC1BBC" w:rsidRDefault="00BC1BBC" w:rsidP="00BC1B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Consider CIMI modeling effort</w:t>
      </w:r>
    </w:p>
    <w:p w:rsidR="00BC1BBC" w:rsidRDefault="00BC1BBC" w:rsidP="00BC1B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Is there a role for Domain Analysis Model? Role as/with Implementation Guide? Start with conceptual model vs. Adapt when implementing or defining use cases? Parallel approach to avoid paralysis analysis</w:t>
      </w:r>
    </w:p>
    <w:p w:rsidR="00BC1BBC" w:rsidRDefault="00BC1BBC" w:rsidP="00BC1B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C1BBC" w:rsidRDefault="00BC1BBC" w:rsidP="00BC1BBC">
      <w:pPr>
        <w:rPr>
          <w:sz w:val="36"/>
          <w:szCs w:val="36"/>
        </w:rPr>
      </w:pPr>
      <w:r>
        <w:rPr>
          <w:sz w:val="36"/>
          <w:szCs w:val="36"/>
        </w:rPr>
        <w:lastRenderedPageBreak/>
        <w:t>Draft Framework:</w:t>
      </w:r>
    </w:p>
    <w:p w:rsidR="00BC1BBC" w:rsidRDefault="00BC1BBC" w:rsidP="00BC1BBC">
      <w:pPr>
        <w:rPr>
          <w:sz w:val="36"/>
          <w:szCs w:val="36"/>
        </w:rPr>
      </w:pPr>
    </w:p>
    <w:p w:rsidR="00BC1BBC" w:rsidRPr="00721777" w:rsidRDefault="00BC1BBC" w:rsidP="00BC1BBC">
      <w:pPr>
        <w:pStyle w:val="ListParagraph"/>
        <w:numPr>
          <w:ilvl w:val="0"/>
          <w:numId w:val="44"/>
        </w:numPr>
        <w:spacing w:after="200" w:line="276" w:lineRule="auto"/>
        <w:rPr>
          <w:sz w:val="36"/>
          <w:szCs w:val="36"/>
        </w:rPr>
      </w:pPr>
      <w:r w:rsidRPr="00721777">
        <w:rPr>
          <w:sz w:val="36"/>
          <w:szCs w:val="36"/>
        </w:rPr>
        <w:t>Foundational Resources</w:t>
      </w:r>
      <w:r>
        <w:rPr>
          <w:sz w:val="36"/>
          <w:szCs w:val="36"/>
        </w:rPr>
        <w:t xml:space="preserve"> – Population, Exposure, Outcome</w:t>
      </w:r>
    </w:p>
    <w:p w:rsidR="00BC1BBC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721777">
        <w:rPr>
          <w:sz w:val="36"/>
          <w:szCs w:val="36"/>
        </w:rPr>
        <w:t>The building blocks</w:t>
      </w:r>
    </w:p>
    <w:p w:rsidR="00BC1BBC" w:rsidRPr="00721777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TBD: are they ”Resources” or ”Attributes”?</w:t>
      </w:r>
    </w:p>
    <w:p w:rsidR="00BC1BBC" w:rsidRPr="00721777" w:rsidRDefault="00BC1BBC" w:rsidP="00BC1BBC">
      <w:pPr>
        <w:pStyle w:val="ListParagraph"/>
        <w:numPr>
          <w:ilvl w:val="0"/>
          <w:numId w:val="44"/>
        </w:numPr>
        <w:spacing w:after="200" w:line="276" w:lineRule="auto"/>
        <w:rPr>
          <w:sz w:val="36"/>
          <w:szCs w:val="36"/>
        </w:rPr>
      </w:pPr>
      <w:r w:rsidRPr="00721777">
        <w:rPr>
          <w:sz w:val="36"/>
          <w:szCs w:val="36"/>
        </w:rPr>
        <w:t>HealthKnowledge Resources</w:t>
      </w:r>
      <w:r>
        <w:rPr>
          <w:sz w:val="36"/>
          <w:szCs w:val="36"/>
        </w:rPr>
        <w:t xml:space="preserve"> -- Assertions</w:t>
      </w:r>
    </w:p>
    <w:p w:rsidR="00BC1BBC" w:rsidRPr="00721777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721777">
        <w:rPr>
          <w:sz w:val="36"/>
          <w:szCs w:val="36"/>
        </w:rPr>
        <w:t>What do we know?</w:t>
      </w:r>
    </w:p>
    <w:p w:rsidR="00BC1BBC" w:rsidRPr="00721777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721777">
        <w:rPr>
          <w:sz w:val="36"/>
          <w:szCs w:val="36"/>
        </w:rPr>
        <w:t>The expression of effect estimates</w:t>
      </w:r>
      <w:r>
        <w:rPr>
          <w:sz w:val="36"/>
          <w:szCs w:val="36"/>
        </w:rPr>
        <w:t xml:space="preserve"> (What is likely to occur?  What is the likelihood of it occurring?)</w:t>
      </w:r>
    </w:p>
    <w:p w:rsidR="00BC1BBC" w:rsidRPr="00721777" w:rsidRDefault="00BC1BBC" w:rsidP="00BC1BBC">
      <w:pPr>
        <w:pStyle w:val="ListParagraph"/>
        <w:numPr>
          <w:ilvl w:val="0"/>
          <w:numId w:val="44"/>
        </w:numPr>
        <w:spacing w:after="200" w:line="276" w:lineRule="auto"/>
        <w:rPr>
          <w:sz w:val="36"/>
          <w:szCs w:val="36"/>
        </w:rPr>
      </w:pPr>
      <w:r w:rsidRPr="00721777">
        <w:rPr>
          <w:sz w:val="36"/>
          <w:szCs w:val="36"/>
        </w:rPr>
        <w:t>Evidence Resources</w:t>
      </w:r>
    </w:p>
    <w:p w:rsidR="00BC1BBC" w:rsidRPr="00721777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721777">
        <w:rPr>
          <w:sz w:val="36"/>
          <w:szCs w:val="36"/>
        </w:rPr>
        <w:t>How do we know?</w:t>
      </w:r>
    </w:p>
    <w:p w:rsidR="00BC1BBC" w:rsidRPr="00721777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721777">
        <w:rPr>
          <w:sz w:val="36"/>
          <w:szCs w:val="36"/>
        </w:rPr>
        <w:t>The expression of the evidence supporting HealthKnowledge Resources</w:t>
      </w:r>
    </w:p>
    <w:p w:rsidR="00BC1BBC" w:rsidRPr="00721777" w:rsidRDefault="00BC1BBC" w:rsidP="00BC1BBC">
      <w:pPr>
        <w:pStyle w:val="ListParagraph"/>
        <w:numPr>
          <w:ilvl w:val="0"/>
          <w:numId w:val="44"/>
        </w:numPr>
        <w:spacing w:after="200" w:line="276" w:lineRule="auto"/>
        <w:rPr>
          <w:sz w:val="36"/>
          <w:szCs w:val="36"/>
        </w:rPr>
      </w:pPr>
      <w:r w:rsidRPr="00721777">
        <w:rPr>
          <w:sz w:val="36"/>
          <w:szCs w:val="36"/>
        </w:rPr>
        <w:t>Recommendation Resources</w:t>
      </w:r>
    </w:p>
    <w:p w:rsidR="00BC1BBC" w:rsidRPr="00721777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721777">
        <w:rPr>
          <w:sz w:val="36"/>
          <w:szCs w:val="36"/>
        </w:rPr>
        <w:t>What should we do?</w:t>
      </w:r>
    </w:p>
    <w:p w:rsidR="00BC1BBC" w:rsidRPr="00721777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721777">
        <w:rPr>
          <w:sz w:val="36"/>
          <w:szCs w:val="36"/>
        </w:rPr>
        <w:t>The expression of judgments of others regarding the desirability or obligation of actions</w:t>
      </w:r>
    </w:p>
    <w:p w:rsidR="00BC1BBC" w:rsidRPr="00721777" w:rsidRDefault="00BC1BBC" w:rsidP="00BC1BBC">
      <w:pPr>
        <w:pStyle w:val="ListParagraph"/>
        <w:numPr>
          <w:ilvl w:val="0"/>
          <w:numId w:val="44"/>
        </w:numPr>
        <w:spacing w:after="200" w:line="276" w:lineRule="auto"/>
        <w:rPr>
          <w:sz w:val="36"/>
          <w:szCs w:val="36"/>
        </w:rPr>
      </w:pPr>
      <w:r w:rsidRPr="00721777">
        <w:rPr>
          <w:sz w:val="36"/>
          <w:szCs w:val="36"/>
        </w:rPr>
        <w:t>Certainty Resources</w:t>
      </w:r>
    </w:p>
    <w:p w:rsidR="00BC1BBC" w:rsidRPr="00721777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721777">
        <w:rPr>
          <w:sz w:val="36"/>
          <w:szCs w:val="36"/>
        </w:rPr>
        <w:t>How well do we know?</w:t>
      </w:r>
    </w:p>
    <w:p w:rsidR="00BC1BBC" w:rsidRPr="00721777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721777">
        <w:rPr>
          <w:sz w:val="36"/>
          <w:szCs w:val="36"/>
        </w:rPr>
        <w:t>The expression of how certain we are in the accuracy of the HealthKnowledge Resources</w:t>
      </w:r>
    </w:p>
    <w:p w:rsidR="00BC1BBC" w:rsidRPr="00721777" w:rsidRDefault="00BC1BBC" w:rsidP="00BC1BBC">
      <w:pPr>
        <w:rPr>
          <w:sz w:val="36"/>
          <w:szCs w:val="36"/>
        </w:rPr>
      </w:pPr>
    </w:p>
    <w:p w:rsidR="00BC1BBC" w:rsidRDefault="00BC1BBC" w:rsidP="00BC1BBC"/>
    <w:p w:rsidR="00BC1BBC" w:rsidRDefault="00BC1BBC" w:rsidP="00BC1BBC"/>
    <w:p w:rsidR="00BC1BBC" w:rsidRDefault="00BC1BBC" w:rsidP="00BC1BBC">
      <w:r>
        <w:br w:type="page"/>
      </w:r>
    </w:p>
    <w:p w:rsidR="00BC1BBC" w:rsidRPr="003D6BED" w:rsidRDefault="00BC1BBC" w:rsidP="00BC1BBC">
      <w:pPr>
        <w:pStyle w:val="ListParagraph"/>
        <w:numPr>
          <w:ilvl w:val="0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lastRenderedPageBreak/>
        <w:t>Foundational Resources</w:t>
      </w:r>
      <w:r>
        <w:rPr>
          <w:sz w:val="36"/>
          <w:szCs w:val="36"/>
        </w:rPr>
        <w:t xml:space="preserve"> -- PICO</w:t>
      </w:r>
    </w:p>
    <w:p w:rsidR="00BC1BBC" w:rsidRPr="003D6BED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Population Resource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Describes a group of entities that could individually be represented as patients in FHIR Resource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Includes 0-n Conditions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Excludes 0-n Conditions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Need to determine if age, gender, setting, etc map to Conditions or are other included/exclude factors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Similar to “Group” Resource in FHIR</w:t>
      </w:r>
      <w:r>
        <w:rPr>
          <w:sz w:val="36"/>
          <w:szCs w:val="36"/>
        </w:rPr>
        <w:t xml:space="preserve"> (or Cohort in quality measures)</w:t>
      </w:r>
    </w:p>
    <w:p w:rsidR="00BC1BBC" w:rsidRPr="003D6BED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Exposure Resource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Describes state of being or exposure</w:t>
      </w:r>
    </w:p>
    <w:p w:rsidR="00BC1BBC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Types can include ExternalCondition (Intentional or Unintentional) and InternalCondition</w:t>
      </w:r>
    </w:p>
    <w:p w:rsidR="00BC1BBC" w:rsidRPr="003D6BED" w:rsidRDefault="00BC1BBC" w:rsidP="00BC1BBC">
      <w:pPr>
        <w:pStyle w:val="ListParagraph"/>
        <w:numPr>
          <w:ilvl w:val="3"/>
          <w:numId w:val="44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Look at Occupational Health Project (under Public Health WG) for defining Unintentional (or environmental) exposures</w:t>
      </w:r>
    </w:p>
    <w:p w:rsidR="00BC1BBC" w:rsidRPr="003D6BED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Outcome Resource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Describes the effects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May be classified as Patient-Important, Surrogate (believed to represent patient-important), or Non-patient-important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May be continuous or categorical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May be Comparative or Descriptive</w:t>
      </w:r>
    </w:p>
    <w:p w:rsidR="00BC1BBC" w:rsidRDefault="00BC1BBC" w:rsidP="00BC1B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br w:type="page"/>
      </w:r>
    </w:p>
    <w:p w:rsidR="00BC1BBC" w:rsidRPr="003D6BED" w:rsidRDefault="00BC1BBC" w:rsidP="00BC1BBC">
      <w:pPr>
        <w:pStyle w:val="ListParagraph"/>
        <w:numPr>
          <w:ilvl w:val="0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lastRenderedPageBreak/>
        <w:t>HealthKnowledge Resources</w:t>
      </w:r>
    </w:p>
    <w:p w:rsidR="00BC1BBC" w:rsidRPr="003D6BED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Assertion Resource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Influence Type – effect of Exposure on Outcome in Population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Prediction Type – likelihood of Population/Exposure/Outcome in Population</w:t>
      </w:r>
    </w:p>
    <w:p w:rsidR="00BC1BBC" w:rsidRPr="003D6BED" w:rsidRDefault="00BC1BBC" w:rsidP="00BC1BBC">
      <w:pPr>
        <w:pStyle w:val="ListParagraph"/>
        <w:numPr>
          <w:ilvl w:val="3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may be past, present or future</w:t>
      </w:r>
    </w:p>
    <w:p w:rsidR="00BC1BBC" w:rsidRPr="003D6BED" w:rsidRDefault="00BC1BBC" w:rsidP="00BC1BBC">
      <w:pPr>
        <w:pStyle w:val="ListParagraph"/>
        <w:numPr>
          <w:ilvl w:val="3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may be diagnostic or prognostic</w:t>
      </w:r>
    </w:p>
    <w:p w:rsidR="00BC1BBC" w:rsidRPr="003D6BED" w:rsidRDefault="00BC1BBC" w:rsidP="00BC1BBC">
      <w:pPr>
        <w:pStyle w:val="ListParagraph"/>
        <w:numPr>
          <w:ilvl w:val="3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may be compound (exposure predicting the influence of different exposure)</w:t>
      </w:r>
    </w:p>
    <w:p w:rsidR="00BC1BBC" w:rsidRDefault="00BC1BBC" w:rsidP="00BC1BBC">
      <w:pPr>
        <w:pStyle w:val="ListParagraph"/>
        <w:spacing w:after="200" w:line="276" w:lineRule="auto"/>
        <w:rPr>
          <w:sz w:val="36"/>
          <w:szCs w:val="36"/>
        </w:rPr>
      </w:pPr>
    </w:p>
    <w:p w:rsidR="00BC1BBC" w:rsidRPr="003D6BED" w:rsidRDefault="00BC1BBC" w:rsidP="00BC1BBC">
      <w:pPr>
        <w:pStyle w:val="ListParagraph"/>
        <w:numPr>
          <w:ilvl w:val="0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Recommendation Resource</w:t>
      </w:r>
    </w:p>
    <w:p w:rsidR="00BC1BBC" w:rsidRPr="003D6BED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Includes who is making the recommendation (typically an Organization)</w:t>
      </w:r>
    </w:p>
    <w:p w:rsidR="00BC1BBC" w:rsidRPr="003D6BED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Intended target = Population Resource</w:t>
      </w:r>
    </w:p>
    <w:p w:rsidR="00BC1BBC" w:rsidRPr="003D6BED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Recommended Action = Exposure Resource</w:t>
      </w:r>
    </w:p>
    <w:p w:rsidR="00BC1BBC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StrengthofRecommendation</w:t>
      </w:r>
    </w:p>
    <w:p w:rsidR="00BC1BBC" w:rsidRPr="003D6BED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Future considerations to manage conflicts and multiple conditoins/prioritization</w:t>
      </w:r>
    </w:p>
    <w:p w:rsidR="00BC1BBC" w:rsidRDefault="00BC1BBC" w:rsidP="00BC1B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C1BBC" w:rsidRPr="003D6BED" w:rsidRDefault="00BC1BBC" w:rsidP="00BC1BBC">
      <w:pPr>
        <w:pStyle w:val="ListParagraph"/>
        <w:numPr>
          <w:ilvl w:val="0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lastRenderedPageBreak/>
        <w:t>Evidence Resources</w:t>
      </w:r>
    </w:p>
    <w:p w:rsidR="00BC1BBC" w:rsidRPr="003D6BED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DirectResearchResults Resource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Citation Resource – where the evidence report is published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ResearchType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Population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Exposure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Outcome (Comparative among ResearchGroups)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ResearchGroups – used to describe subgroups (cohorts) within the study</w:t>
      </w:r>
    </w:p>
    <w:p w:rsidR="00BC1BBC" w:rsidRPr="003D6BED" w:rsidRDefault="00BC1BBC" w:rsidP="00BC1BBC">
      <w:pPr>
        <w:pStyle w:val="ListParagraph"/>
        <w:numPr>
          <w:ilvl w:val="3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Population</w:t>
      </w:r>
    </w:p>
    <w:p w:rsidR="00BC1BBC" w:rsidRPr="003D6BED" w:rsidRDefault="00BC1BBC" w:rsidP="00BC1BBC">
      <w:pPr>
        <w:pStyle w:val="ListParagraph"/>
        <w:numPr>
          <w:ilvl w:val="3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Exposure</w:t>
      </w:r>
    </w:p>
    <w:p w:rsidR="00BC1BBC" w:rsidRPr="003D6BED" w:rsidRDefault="00BC1BBC" w:rsidP="00BC1BBC">
      <w:pPr>
        <w:pStyle w:val="ListParagraph"/>
        <w:numPr>
          <w:ilvl w:val="3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Outcome (Descriptive)</w:t>
      </w:r>
    </w:p>
    <w:p w:rsidR="00BC1BBC" w:rsidRPr="003D6BED" w:rsidRDefault="00BC1BBC" w:rsidP="00BC1BBC">
      <w:pPr>
        <w:pStyle w:val="ListParagraph"/>
        <w:numPr>
          <w:ilvl w:val="3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SampleSizeIntended</w:t>
      </w:r>
    </w:p>
    <w:p w:rsidR="00BC1BBC" w:rsidRPr="003D6BED" w:rsidRDefault="00BC1BBC" w:rsidP="00BC1BBC">
      <w:pPr>
        <w:pStyle w:val="ListParagraph"/>
        <w:numPr>
          <w:ilvl w:val="3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SampleSizeInvited</w:t>
      </w:r>
    </w:p>
    <w:p w:rsidR="00BC1BBC" w:rsidRPr="003D6BED" w:rsidRDefault="00BC1BBC" w:rsidP="00BC1BBC">
      <w:pPr>
        <w:pStyle w:val="ListParagraph"/>
        <w:numPr>
          <w:ilvl w:val="3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SampleSizeEnrolled</w:t>
      </w:r>
    </w:p>
    <w:p w:rsidR="00BC1BBC" w:rsidRDefault="00BC1BBC" w:rsidP="00BC1BBC">
      <w:pPr>
        <w:pStyle w:val="ListParagraph"/>
        <w:numPr>
          <w:ilvl w:val="3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SampleSizeReported</w:t>
      </w:r>
    </w:p>
    <w:p w:rsidR="00BC1BBC" w:rsidRPr="003D6BED" w:rsidRDefault="00BC1BBC" w:rsidP="00BC1BBC">
      <w:pPr>
        <w:pStyle w:val="ListParagraph"/>
        <w:numPr>
          <w:ilvl w:val="3"/>
          <w:numId w:val="44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(learn from and perhaps contribute to clinicaltrials.gov)</w:t>
      </w:r>
    </w:p>
    <w:p w:rsidR="00BC1BBC" w:rsidRDefault="00BC1BBC" w:rsidP="00BC1B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C1BBC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lastRenderedPageBreak/>
        <w:t xml:space="preserve">?? </w:t>
      </w:r>
      <w:r>
        <w:rPr>
          <w:sz w:val="36"/>
          <w:szCs w:val="36"/>
        </w:rPr>
        <w:t>Extensions to DirectResearchResults Resource or distinct resources to cover:</w:t>
      </w:r>
    </w:p>
    <w:p w:rsidR="00BC1BBC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CuratedResearchResults Resource</w:t>
      </w:r>
      <w:r>
        <w:rPr>
          <w:sz w:val="36"/>
          <w:szCs w:val="36"/>
        </w:rPr>
        <w:t xml:space="preserve"> – when the direct research result is a systematic synopsis of a direct research result</w:t>
      </w:r>
    </w:p>
    <w:p w:rsidR="00BC1BBC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AdditionalAnalysisResults Resource – perhaps attributes if desire to distinguish primary from secondary analyses, or to distinguish analyses by individuals other than the original investigators</w:t>
      </w:r>
    </w:p>
    <w:p w:rsidR="00BC1BBC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MetaAnalysisResults Resource – when the direct research results is a synthesis of multiple instances of direct research results</w:t>
      </w:r>
    </w:p>
    <w:p w:rsidR="00BC1BBC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IndividualPatientDataMetaAnalysis Resource </w:t>
      </w:r>
    </w:p>
    <w:p w:rsidR="00BC1BBC" w:rsidRPr="003D6BED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IndirectEvidence Resource</w:t>
      </w:r>
    </w:p>
    <w:p w:rsidR="00BC1BBC" w:rsidRPr="003D6BED" w:rsidRDefault="00BC1BBC" w:rsidP="00BC1BBC">
      <w:pPr>
        <w:pStyle w:val="ListParagraph"/>
        <w:numPr>
          <w:ilvl w:val="2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Source – may be DirectResearchResults, Assertion, Explanation</w:t>
      </w:r>
    </w:p>
    <w:p w:rsidR="00BC1BBC" w:rsidRDefault="00BC1BBC" w:rsidP="00BC1BBC">
      <w:pPr>
        <w:pStyle w:val="ListParagraph"/>
        <w:spacing w:after="200" w:line="276" w:lineRule="auto"/>
        <w:rPr>
          <w:sz w:val="36"/>
          <w:szCs w:val="36"/>
        </w:rPr>
      </w:pPr>
    </w:p>
    <w:p w:rsidR="00BC1BBC" w:rsidRPr="003D6BED" w:rsidRDefault="00BC1BBC" w:rsidP="00BC1BBC">
      <w:pPr>
        <w:pStyle w:val="ListParagraph"/>
        <w:numPr>
          <w:ilvl w:val="0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Certainty Resources</w:t>
      </w:r>
    </w:p>
    <w:p w:rsidR="00BC1BBC" w:rsidRPr="003D6BED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CertaintyRating</w:t>
      </w:r>
    </w:p>
    <w:p w:rsidR="00BC1BBC" w:rsidRPr="003D6BED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RiskofBias Resources – mapped out by ResearchType</w:t>
      </w:r>
    </w:p>
    <w:p w:rsidR="00BC1BBC" w:rsidRPr="003D6BED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ConsistencyRating</w:t>
      </w:r>
    </w:p>
    <w:p w:rsidR="00BC1BBC" w:rsidRPr="003D6BED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PrecisionRating</w:t>
      </w:r>
    </w:p>
    <w:p w:rsidR="00BC1BBC" w:rsidRPr="003D6BED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PublicationBiasRating</w:t>
      </w:r>
    </w:p>
    <w:p w:rsidR="00BC1BBC" w:rsidRPr="003D6BED" w:rsidRDefault="00BC1BBC" w:rsidP="00BC1BBC">
      <w:pPr>
        <w:pStyle w:val="ListParagraph"/>
        <w:numPr>
          <w:ilvl w:val="1"/>
          <w:numId w:val="44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DirectnessRating</w:t>
      </w:r>
    </w:p>
    <w:p w:rsidR="00BC1BBC" w:rsidRDefault="00BC1BBC" w:rsidP="00BC1B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C1BBC" w:rsidRDefault="00BC1BBC" w:rsidP="00BC1BB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Action Steps to Progress: -- </w:t>
      </w:r>
      <w:r w:rsidRPr="00B434C2">
        <w:rPr>
          <w:sz w:val="36"/>
          <w:szCs w:val="36"/>
          <w:u w:val="single"/>
        </w:rPr>
        <w:t>Continue discussion and draf tPSS for next Wed at 4 pm</w:t>
      </w:r>
    </w:p>
    <w:p w:rsidR="00BC1BBC" w:rsidRDefault="00BC1BBC" w:rsidP="00BC1BBC">
      <w:pPr>
        <w:rPr>
          <w:sz w:val="36"/>
          <w:szCs w:val="36"/>
        </w:rPr>
      </w:pPr>
    </w:p>
    <w:p w:rsidR="00BC1BBC" w:rsidRDefault="00BC1BBC" w:rsidP="00BC1BBC">
      <w:pPr>
        <w:pStyle w:val="ListParagraph"/>
        <w:numPr>
          <w:ilvl w:val="0"/>
          <w:numId w:val="46"/>
        </w:numPr>
        <w:rPr>
          <w:sz w:val="36"/>
          <w:szCs w:val="36"/>
        </w:rPr>
      </w:pPr>
      <w:r>
        <w:rPr>
          <w:sz w:val="36"/>
          <w:szCs w:val="36"/>
        </w:rPr>
        <w:t>Complete a Project Scope Statement (</w:t>
      </w:r>
      <w:r w:rsidRPr="00B434C2">
        <w:rPr>
          <w:sz w:val="36"/>
          <w:szCs w:val="36"/>
          <w:u w:val="single"/>
        </w:rPr>
        <w:t xml:space="preserve">Guilherme </w:t>
      </w:r>
      <w:r>
        <w:rPr>
          <w:sz w:val="36"/>
          <w:szCs w:val="36"/>
        </w:rPr>
        <w:t>to send example, find latest version)</w:t>
      </w:r>
    </w:p>
    <w:p w:rsidR="00BC1BBC" w:rsidRDefault="00BC1BBC" w:rsidP="00BC1BBC">
      <w:pPr>
        <w:pStyle w:val="ListParagraph"/>
        <w:numPr>
          <w:ilvl w:val="0"/>
          <w:numId w:val="46"/>
        </w:numPr>
        <w:rPr>
          <w:sz w:val="36"/>
          <w:szCs w:val="36"/>
        </w:rPr>
      </w:pPr>
      <w:r>
        <w:rPr>
          <w:sz w:val="36"/>
          <w:szCs w:val="36"/>
        </w:rPr>
        <w:t>Submit the Project Scope Statement – draft for May 16 meeting</w:t>
      </w:r>
    </w:p>
    <w:p w:rsidR="00BC1BBC" w:rsidRDefault="00BC1BBC" w:rsidP="00BC1BBC">
      <w:pPr>
        <w:pStyle w:val="ListParagraph"/>
        <w:numPr>
          <w:ilvl w:val="1"/>
          <w:numId w:val="46"/>
        </w:numPr>
        <w:rPr>
          <w:sz w:val="36"/>
          <w:szCs w:val="36"/>
        </w:rPr>
      </w:pPr>
      <w:r>
        <w:rPr>
          <w:sz w:val="36"/>
          <w:szCs w:val="36"/>
        </w:rPr>
        <w:t>–What groups to cosponsor?  BR+R (the Research people), CQI</w:t>
      </w:r>
    </w:p>
    <w:p w:rsidR="00BC1BBC" w:rsidRDefault="00BC1BBC" w:rsidP="00BC1BBC">
      <w:pPr>
        <w:pStyle w:val="ListParagraph"/>
        <w:numPr>
          <w:ilvl w:val="1"/>
          <w:numId w:val="46"/>
        </w:numPr>
        <w:rPr>
          <w:sz w:val="36"/>
          <w:szCs w:val="36"/>
        </w:rPr>
      </w:pPr>
      <w:r>
        <w:rPr>
          <w:sz w:val="36"/>
          <w:szCs w:val="36"/>
        </w:rPr>
        <w:t>Plan to reach out to many (but not cosponsor externally)</w:t>
      </w:r>
    </w:p>
    <w:p w:rsidR="00BC1BBC" w:rsidRDefault="00BC1BBC" w:rsidP="00BC1BBC">
      <w:pPr>
        <w:pStyle w:val="ListParagraph"/>
        <w:numPr>
          <w:ilvl w:val="1"/>
          <w:numId w:val="46"/>
        </w:numPr>
        <w:rPr>
          <w:sz w:val="36"/>
          <w:szCs w:val="36"/>
        </w:rPr>
      </w:pPr>
      <w:r>
        <w:rPr>
          <w:sz w:val="36"/>
          <w:szCs w:val="36"/>
        </w:rPr>
        <w:t xml:space="preserve">Intent to ballot? When?  August 17 due for Sept ballot (if </w:t>
      </w:r>
      <w:r w:rsidRPr="00B434C2">
        <w:rPr>
          <w:sz w:val="36"/>
          <w:szCs w:val="36"/>
          <w:u w:val="single"/>
        </w:rPr>
        <w:t>ballot to comment</w:t>
      </w:r>
      <w:r>
        <w:rPr>
          <w:sz w:val="36"/>
          <w:szCs w:val="36"/>
        </w:rPr>
        <w:t>); STU for January</w:t>
      </w:r>
    </w:p>
    <w:p w:rsidR="00BC1BBC" w:rsidRDefault="00BC1BBC" w:rsidP="00BC1BBC">
      <w:pPr>
        <w:pStyle w:val="ListParagraph"/>
        <w:numPr>
          <w:ilvl w:val="0"/>
          <w:numId w:val="46"/>
        </w:numPr>
        <w:rPr>
          <w:sz w:val="36"/>
          <w:szCs w:val="36"/>
        </w:rPr>
      </w:pPr>
      <w:r>
        <w:rPr>
          <w:sz w:val="36"/>
          <w:szCs w:val="36"/>
        </w:rPr>
        <w:t>Create a project website page for shared discussion</w:t>
      </w:r>
    </w:p>
    <w:p w:rsidR="00BC1BBC" w:rsidRDefault="00BC1BBC" w:rsidP="00BC1BBC">
      <w:pPr>
        <w:pStyle w:val="ListParagraph"/>
        <w:numPr>
          <w:ilvl w:val="0"/>
          <w:numId w:val="46"/>
        </w:numPr>
        <w:rPr>
          <w:sz w:val="36"/>
          <w:szCs w:val="36"/>
        </w:rPr>
      </w:pPr>
      <w:r>
        <w:rPr>
          <w:sz w:val="36"/>
          <w:szCs w:val="36"/>
        </w:rPr>
        <w:t xml:space="preserve">Reframe the discussion in terms of ”data elements” instead of ”resources” </w:t>
      </w:r>
      <w:r w:rsidRPr="003D6BED">
        <w:rPr>
          <w:sz w:val="36"/>
          <w:szCs w:val="36"/>
        </w:rPr>
        <w:t>– mapping to resources or datatypes is part of mapping it as we go</w:t>
      </w:r>
    </w:p>
    <w:p w:rsidR="00BC1BBC" w:rsidRDefault="00BC1BBC" w:rsidP="00BC1BBC">
      <w:pPr>
        <w:pStyle w:val="ListParagraph"/>
        <w:numPr>
          <w:ilvl w:val="0"/>
          <w:numId w:val="46"/>
        </w:numPr>
        <w:rPr>
          <w:sz w:val="36"/>
          <w:szCs w:val="36"/>
        </w:rPr>
      </w:pPr>
      <w:r>
        <w:rPr>
          <w:sz w:val="36"/>
          <w:szCs w:val="36"/>
        </w:rPr>
        <w:t>Plan agenda for May 16 meeting in Germany (to approve PSS)</w:t>
      </w:r>
    </w:p>
    <w:p w:rsidR="00BC1BBC" w:rsidRDefault="00BC1BBC" w:rsidP="00BC1BBC">
      <w:pPr>
        <w:pStyle w:val="ListParagraph"/>
        <w:numPr>
          <w:ilvl w:val="0"/>
          <w:numId w:val="46"/>
        </w:numPr>
        <w:rPr>
          <w:sz w:val="36"/>
          <w:szCs w:val="36"/>
        </w:rPr>
      </w:pPr>
      <w:r>
        <w:rPr>
          <w:sz w:val="36"/>
          <w:szCs w:val="36"/>
        </w:rPr>
        <w:t>Establish a regular time for project meetings</w:t>
      </w:r>
    </w:p>
    <w:p w:rsidR="00BC1BBC" w:rsidRDefault="00BC1BBC" w:rsidP="00BC1BBC">
      <w:pPr>
        <w:pStyle w:val="ListParagraph"/>
        <w:numPr>
          <w:ilvl w:val="0"/>
          <w:numId w:val="46"/>
        </w:numPr>
        <w:rPr>
          <w:sz w:val="36"/>
          <w:szCs w:val="36"/>
        </w:rPr>
      </w:pPr>
      <w:r>
        <w:rPr>
          <w:sz w:val="36"/>
          <w:szCs w:val="36"/>
        </w:rPr>
        <w:t>Schedule webmeeting events for project meetings</w:t>
      </w:r>
    </w:p>
    <w:p w:rsidR="00BC1BBC" w:rsidRDefault="00BC1BBC" w:rsidP="00BC1BBC">
      <w:pPr>
        <w:pStyle w:val="ListParagraph"/>
        <w:numPr>
          <w:ilvl w:val="0"/>
          <w:numId w:val="46"/>
        </w:numPr>
        <w:rPr>
          <w:sz w:val="36"/>
          <w:szCs w:val="36"/>
        </w:rPr>
      </w:pPr>
      <w:r>
        <w:rPr>
          <w:sz w:val="36"/>
          <w:szCs w:val="36"/>
        </w:rPr>
        <w:t>Invite interested parties to participate</w:t>
      </w:r>
    </w:p>
    <w:p w:rsidR="00BC1BBC" w:rsidRDefault="00BC1BBC" w:rsidP="00BC1BBC">
      <w:pPr>
        <w:pStyle w:val="ListParagraph"/>
        <w:numPr>
          <w:ilvl w:val="1"/>
          <w:numId w:val="46"/>
        </w:numPr>
        <w:rPr>
          <w:sz w:val="36"/>
          <w:szCs w:val="36"/>
        </w:rPr>
      </w:pPr>
      <w:r>
        <w:rPr>
          <w:sz w:val="36"/>
          <w:szCs w:val="36"/>
        </w:rPr>
        <w:t>Invite HL7 members</w:t>
      </w:r>
    </w:p>
    <w:p w:rsidR="00BC1BBC" w:rsidRPr="003D6BED" w:rsidRDefault="00BC1BBC" w:rsidP="00BC1BBC">
      <w:pPr>
        <w:pStyle w:val="ListParagraph"/>
        <w:numPr>
          <w:ilvl w:val="1"/>
          <w:numId w:val="46"/>
        </w:numPr>
        <w:rPr>
          <w:sz w:val="36"/>
          <w:szCs w:val="36"/>
        </w:rPr>
      </w:pPr>
      <w:r>
        <w:rPr>
          <w:sz w:val="36"/>
          <w:szCs w:val="36"/>
        </w:rPr>
        <w:t>Invite non-HL7 members (? NLM, Cochrane, GIN, etc.)</w:t>
      </w:r>
    </w:p>
    <w:p w:rsidR="00BC1BBC" w:rsidRPr="003D6BED" w:rsidRDefault="00BC1BBC" w:rsidP="00BC1BBC">
      <w:pPr>
        <w:rPr>
          <w:sz w:val="36"/>
          <w:szCs w:val="36"/>
        </w:rPr>
      </w:pPr>
    </w:p>
    <w:p w:rsidR="00BC1BBC" w:rsidRPr="003D6BED" w:rsidRDefault="00BC1BBC" w:rsidP="00BC1BBC">
      <w:pPr>
        <w:rPr>
          <w:sz w:val="36"/>
          <w:szCs w:val="36"/>
        </w:rPr>
      </w:pPr>
      <w:r w:rsidRPr="003D6BED">
        <w:rPr>
          <w:sz w:val="36"/>
          <w:szCs w:val="36"/>
        </w:rPr>
        <w:t>Subprojects:</w:t>
      </w:r>
    </w:p>
    <w:p w:rsidR="00BC1BBC" w:rsidRPr="003D6BED" w:rsidRDefault="00BC1BBC" w:rsidP="00BC1BBC">
      <w:pPr>
        <w:pStyle w:val="ListParagraph"/>
        <w:numPr>
          <w:ilvl w:val="0"/>
          <w:numId w:val="45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Identify list of data constructs with desire to share (eg recommendations, summary of findings tables, risk of bias assessments, quality measure)</w:t>
      </w:r>
    </w:p>
    <w:p w:rsidR="00BC1BBC" w:rsidRPr="003D6BED" w:rsidRDefault="00BC1BBC" w:rsidP="00BC1BBC">
      <w:pPr>
        <w:pStyle w:val="ListParagraph"/>
        <w:numPr>
          <w:ilvl w:val="0"/>
          <w:numId w:val="45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lastRenderedPageBreak/>
        <w:t>Map Population Resource for terminology coding</w:t>
      </w:r>
    </w:p>
    <w:p w:rsidR="00BC1BBC" w:rsidRPr="003D6BED" w:rsidRDefault="00BC1BBC" w:rsidP="00BC1BBC">
      <w:pPr>
        <w:pStyle w:val="ListParagraph"/>
        <w:numPr>
          <w:ilvl w:val="0"/>
          <w:numId w:val="45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Map selected data constructs to the schema</w:t>
      </w:r>
    </w:p>
    <w:p w:rsidR="00BC1BBC" w:rsidRPr="003D6BED" w:rsidRDefault="00BC1BBC" w:rsidP="00BC1BBC">
      <w:pPr>
        <w:pStyle w:val="ListParagraph"/>
        <w:numPr>
          <w:ilvl w:val="1"/>
          <w:numId w:val="45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Map Summary of Findings Table to this schema</w:t>
      </w:r>
    </w:p>
    <w:p w:rsidR="00BC1BBC" w:rsidRPr="003D6BED" w:rsidRDefault="00BC1BBC" w:rsidP="00BC1BBC">
      <w:pPr>
        <w:pStyle w:val="ListParagraph"/>
        <w:numPr>
          <w:ilvl w:val="1"/>
          <w:numId w:val="45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Map primary study summaries (body of evidence) to this schema</w:t>
      </w:r>
    </w:p>
    <w:p w:rsidR="00BC1BBC" w:rsidRPr="003D6BED" w:rsidRDefault="00BC1BBC" w:rsidP="00BC1BBC">
      <w:pPr>
        <w:pStyle w:val="ListParagraph"/>
        <w:numPr>
          <w:ilvl w:val="1"/>
          <w:numId w:val="45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Map quality measure to this schema</w:t>
      </w:r>
    </w:p>
    <w:p w:rsidR="00BC1BBC" w:rsidRPr="003D6BED" w:rsidRDefault="00BC1BBC" w:rsidP="00BC1BBC">
      <w:pPr>
        <w:pStyle w:val="ListParagraph"/>
        <w:numPr>
          <w:ilvl w:val="0"/>
          <w:numId w:val="45"/>
        </w:numPr>
        <w:spacing w:after="200" w:line="276" w:lineRule="auto"/>
        <w:rPr>
          <w:sz w:val="36"/>
          <w:szCs w:val="36"/>
        </w:rPr>
      </w:pPr>
      <w:r w:rsidRPr="003D6BED">
        <w:rPr>
          <w:sz w:val="36"/>
          <w:szCs w:val="36"/>
        </w:rPr>
        <w:t>Coordinate with CDS Hooks (and CDS overall)</w:t>
      </w:r>
    </w:p>
    <w:p w:rsidR="00BC1BBC" w:rsidRPr="003D6BED" w:rsidRDefault="00BC1BBC" w:rsidP="00BC1BBC">
      <w:pPr>
        <w:spacing w:after="160" w:line="259" w:lineRule="auto"/>
        <w:rPr>
          <w:rFonts w:asciiTheme="minorHAnsi" w:hAnsiTheme="minorHAnsi" w:cstheme="minorHAnsi"/>
          <w:sz w:val="36"/>
          <w:szCs w:val="36"/>
        </w:rPr>
      </w:pPr>
    </w:p>
    <w:p w:rsidR="00BC1BBC" w:rsidRPr="00237544" w:rsidRDefault="00BC1BBC" w:rsidP="00F4640C">
      <w:pPr>
        <w:rPr>
          <w:rFonts w:ascii="Calibri" w:eastAsia="Times New Roman" w:hAnsi="Calibri" w:cs="Calibri"/>
          <w:color w:val="000000"/>
        </w:rPr>
      </w:pPr>
    </w:p>
    <w:sectPr w:rsidR="00BC1BBC" w:rsidRPr="00237544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CB0" w:rsidRDefault="00AA1CB0" w:rsidP="007F5271">
      <w:r>
        <w:separator/>
      </w:r>
    </w:p>
  </w:endnote>
  <w:endnote w:type="continuationSeparator" w:id="0">
    <w:p w:rsidR="00AA1CB0" w:rsidRDefault="00AA1CB0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CB0" w:rsidRDefault="00AA1CB0" w:rsidP="007F5271">
      <w:r>
        <w:separator/>
      </w:r>
    </w:p>
  </w:footnote>
  <w:footnote w:type="continuationSeparator" w:id="0">
    <w:p w:rsidR="00AA1CB0" w:rsidRDefault="00AA1CB0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743D"/>
    <w:multiLevelType w:val="hybridMultilevel"/>
    <w:tmpl w:val="26F26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1749"/>
    <w:multiLevelType w:val="hybridMultilevel"/>
    <w:tmpl w:val="82581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0E72"/>
    <w:multiLevelType w:val="hybridMultilevel"/>
    <w:tmpl w:val="E29E5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3013B8"/>
    <w:multiLevelType w:val="multilevel"/>
    <w:tmpl w:val="CD68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D10469"/>
    <w:multiLevelType w:val="hybridMultilevel"/>
    <w:tmpl w:val="482AC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0334CE"/>
    <w:multiLevelType w:val="hybridMultilevel"/>
    <w:tmpl w:val="ECD6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330389"/>
    <w:multiLevelType w:val="hybridMultilevel"/>
    <w:tmpl w:val="C10C5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D79E3"/>
    <w:multiLevelType w:val="multilevel"/>
    <w:tmpl w:val="CD68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451A2F"/>
    <w:multiLevelType w:val="multilevel"/>
    <w:tmpl w:val="66FA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E56FFE"/>
    <w:multiLevelType w:val="multilevel"/>
    <w:tmpl w:val="4246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CC5AFE"/>
    <w:multiLevelType w:val="hybridMultilevel"/>
    <w:tmpl w:val="3CB4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A69E9"/>
    <w:multiLevelType w:val="multilevel"/>
    <w:tmpl w:val="A4EC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8F5544"/>
    <w:multiLevelType w:val="multilevel"/>
    <w:tmpl w:val="C932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32"/>
  </w:num>
  <w:num w:numId="5">
    <w:abstractNumId w:val="11"/>
  </w:num>
  <w:num w:numId="6">
    <w:abstractNumId w:val="14"/>
  </w:num>
  <w:num w:numId="7">
    <w:abstractNumId w:val="35"/>
  </w:num>
  <w:num w:numId="8">
    <w:abstractNumId w:val="45"/>
  </w:num>
  <w:num w:numId="9">
    <w:abstractNumId w:val="21"/>
  </w:num>
  <w:num w:numId="10">
    <w:abstractNumId w:val="39"/>
  </w:num>
  <w:num w:numId="11">
    <w:abstractNumId w:val="33"/>
  </w:num>
  <w:num w:numId="12">
    <w:abstractNumId w:val="0"/>
  </w:num>
  <w:num w:numId="13">
    <w:abstractNumId w:val="38"/>
  </w:num>
  <w:num w:numId="14">
    <w:abstractNumId w:val="10"/>
  </w:num>
  <w:num w:numId="15">
    <w:abstractNumId w:val="1"/>
  </w:num>
  <w:num w:numId="16">
    <w:abstractNumId w:val="20"/>
  </w:num>
  <w:num w:numId="17">
    <w:abstractNumId w:val="17"/>
  </w:num>
  <w:num w:numId="18">
    <w:abstractNumId w:val="2"/>
  </w:num>
  <w:num w:numId="19">
    <w:abstractNumId w:val="29"/>
  </w:num>
  <w:num w:numId="20">
    <w:abstractNumId w:val="34"/>
  </w:num>
  <w:num w:numId="21">
    <w:abstractNumId w:val="22"/>
  </w:num>
  <w:num w:numId="22">
    <w:abstractNumId w:val="40"/>
  </w:num>
  <w:num w:numId="23">
    <w:abstractNumId w:val="8"/>
  </w:num>
  <w:num w:numId="24">
    <w:abstractNumId w:val="4"/>
  </w:num>
  <w:num w:numId="25">
    <w:abstractNumId w:val="28"/>
  </w:num>
  <w:num w:numId="26">
    <w:abstractNumId w:val="23"/>
  </w:num>
  <w:num w:numId="27">
    <w:abstractNumId w:val="24"/>
  </w:num>
  <w:num w:numId="28">
    <w:abstractNumId w:val="6"/>
  </w:num>
  <w:num w:numId="29">
    <w:abstractNumId w:val="15"/>
  </w:num>
  <w:num w:numId="30">
    <w:abstractNumId w:val="41"/>
  </w:num>
  <w:num w:numId="31">
    <w:abstractNumId w:val="27"/>
  </w:num>
  <w:num w:numId="32">
    <w:abstractNumId w:val="26"/>
  </w:num>
  <w:num w:numId="33">
    <w:abstractNumId w:val="7"/>
  </w:num>
  <w:num w:numId="34">
    <w:abstractNumId w:val="5"/>
  </w:num>
  <w:num w:numId="35">
    <w:abstractNumId w:val="19"/>
  </w:num>
  <w:num w:numId="36">
    <w:abstractNumId w:val="13"/>
  </w:num>
  <w:num w:numId="37">
    <w:abstractNumId w:val="31"/>
  </w:num>
  <w:num w:numId="38">
    <w:abstractNumId w:val="18"/>
  </w:num>
  <w:num w:numId="39">
    <w:abstractNumId w:val="36"/>
  </w:num>
  <w:num w:numId="40">
    <w:abstractNumId w:val="44"/>
  </w:num>
  <w:num w:numId="41">
    <w:abstractNumId w:val="42"/>
  </w:num>
  <w:num w:numId="42">
    <w:abstractNumId w:val="43"/>
  </w:num>
  <w:num w:numId="43">
    <w:abstractNumId w:val="37"/>
  </w:num>
  <w:num w:numId="44">
    <w:abstractNumId w:val="25"/>
  </w:num>
  <w:num w:numId="45">
    <w:abstractNumId w:val="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8D"/>
    <w:rsid w:val="00001B47"/>
    <w:rsid w:val="00006C09"/>
    <w:rsid w:val="00010070"/>
    <w:rsid w:val="00010D8E"/>
    <w:rsid w:val="000120CA"/>
    <w:rsid w:val="0001312F"/>
    <w:rsid w:val="00013FF2"/>
    <w:rsid w:val="00014FA1"/>
    <w:rsid w:val="000156C0"/>
    <w:rsid w:val="00022BDF"/>
    <w:rsid w:val="0002548D"/>
    <w:rsid w:val="00025DF4"/>
    <w:rsid w:val="0002699B"/>
    <w:rsid w:val="00030796"/>
    <w:rsid w:val="00031202"/>
    <w:rsid w:val="0003262A"/>
    <w:rsid w:val="00032F08"/>
    <w:rsid w:val="000347F9"/>
    <w:rsid w:val="00034E6D"/>
    <w:rsid w:val="00035D82"/>
    <w:rsid w:val="00036BD5"/>
    <w:rsid w:val="00036BDD"/>
    <w:rsid w:val="00042716"/>
    <w:rsid w:val="0004357B"/>
    <w:rsid w:val="00046013"/>
    <w:rsid w:val="000461E6"/>
    <w:rsid w:val="00046534"/>
    <w:rsid w:val="00050CDE"/>
    <w:rsid w:val="000536DD"/>
    <w:rsid w:val="000550B8"/>
    <w:rsid w:val="000551EF"/>
    <w:rsid w:val="00055F11"/>
    <w:rsid w:val="00062046"/>
    <w:rsid w:val="00064763"/>
    <w:rsid w:val="00064FED"/>
    <w:rsid w:val="00065372"/>
    <w:rsid w:val="000730BF"/>
    <w:rsid w:val="000730C1"/>
    <w:rsid w:val="0007324D"/>
    <w:rsid w:val="000738AB"/>
    <w:rsid w:val="00075C1C"/>
    <w:rsid w:val="00082163"/>
    <w:rsid w:val="00082F74"/>
    <w:rsid w:val="000849A5"/>
    <w:rsid w:val="00087BDD"/>
    <w:rsid w:val="00090AA5"/>
    <w:rsid w:val="00090CCB"/>
    <w:rsid w:val="00090CDC"/>
    <w:rsid w:val="0009194E"/>
    <w:rsid w:val="000970D0"/>
    <w:rsid w:val="000A05FC"/>
    <w:rsid w:val="000A62BC"/>
    <w:rsid w:val="000A66B3"/>
    <w:rsid w:val="000B00AD"/>
    <w:rsid w:val="000B17E3"/>
    <w:rsid w:val="000B1B0C"/>
    <w:rsid w:val="000B295D"/>
    <w:rsid w:val="000B68C8"/>
    <w:rsid w:val="000C10A0"/>
    <w:rsid w:val="000C1CD4"/>
    <w:rsid w:val="000C5B8C"/>
    <w:rsid w:val="000C5F65"/>
    <w:rsid w:val="000C65C0"/>
    <w:rsid w:val="000D49B9"/>
    <w:rsid w:val="000D5753"/>
    <w:rsid w:val="000E0117"/>
    <w:rsid w:val="000E1E2B"/>
    <w:rsid w:val="000E2C98"/>
    <w:rsid w:val="000F06C5"/>
    <w:rsid w:val="000F2BAA"/>
    <w:rsid w:val="000F2CB9"/>
    <w:rsid w:val="000F345C"/>
    <w:rsid w:val="000F3B32"/>
    <w:rsid w:val="000F57AA"/>
    <w:rsid w:val="000F656F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266B7"/>
    <w:rsid w:val="0012793A"/>
    <w:rsid w:val="00133160"/>
    <w:rsid w:val="001354C4"/>
    <w:rsid w:val="00136878"/>
    <w:rsid w:val="00137E79"/>
    <w:rsid w:val="00140060"/>
    <w:rsid w:val="00140770"/>
    <w:rsid w:val="00141142"/>
    <w:rsid w:val="001420CD"/>
    <w:rsid w:val="001435DB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952"/>
    <w:rsid w:val="00161956"/>
    <w:rsid w:val="001619B3"/>
    <w:rsid w:val="001620C1"/>
    <w:rsid w:val="00162C7F"/>
    <w:rsid w:val="00163983"/>
    <w:rsid w:val="001653E8"/>
    <w:rsid w:val="00167EA2"/>
    <w:rsid w:val="001700BD"/>
    <w:rsid w:val="00171738"/>
    <w:rsid w:val="00176629"/>
    <w:rsid w:val="001776C5"/>
    <w:rsid w:val="00190B25"/>
    <w:rsid w:val="00191B4E"/>
    <w:rsid w:val="0019265E"/>
    <w:rsid w:val="00192CCA"/>
    <w:rsid w:val="00193139"/>
    <w:rsid w:val="001963D3"/>
    <w:rsid w:val="001974B4"/>
    <w:rsid w:val="001A0B95"/>
    <w:rsid w:val="001A0EC3"/>
    <w:rsid w:val="001A26E2"/>
    <w:rsid w:val="001A76CC"/>
    <w:rsid w:val="001B2C90"/>
    <w:rsid w:val="001B3D6C"/>
    <w:rsid w:val="001B562B"/>
    <w:rsid w:val="001B578E"/>
    <w:rsid w:val="001B7D36"/>
    <w:rsid w:val="001C149A"/>
    <w:rsid w:val="001C24CE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C17"/>
    <w:rsid w:val="00200F02"/>
    <w:rsid w:val="00201180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544"/>
    <w:rsid w:val="00237FD0"/>
    <w:rsid w:val="00240781"/>
    <w:rsid w:val="00241DCE"/>
    <w:rsid w:val="00242BF9"/>
    <w:rsid w:val="00243AC4"/>
    <w:rsid w:val="00247248"/>
    <w:rsid w:val="0024771C"/>
    <w:rsid w:val="00250418"/>
    <w:rsid w:val="00251325"/>
    <w:rsid w:val="00252696"/>
    <w:rsid w:val="0025333F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772E1"/>
    <w:rsid w:val="00281647"/>
    <w:rsid w:val="002822CE"/>
    <w:rsid w:val="00282E68"/>
    <w:rsid w:val="002857FD"/>
    <w:rsid w:val="00286E1E"/>
    <w:rsid w:val="00287D56"/>
    <w:rsid w:val="00294188"/>
    <w:rsid w:val="00294D1A"/>
    <w:rsid w:val="002A1D84"/>
    <w:rsid w:val="002A2141"/>
    <w:rsid w:val="002A2EBF"/>
    <w:rsid w:val="002A5D13"/>
    <w:rsid w:val="002A72A4"/>
    <w:rsid w:val="002B0B31"/>
    <w:rsid w:val="002B0DAA"/>
    <w:rsid w:val="002B1ED3"/>
    <w:rsid w:val="002B2508"/>
    <w:rsid w:val="002B47C4"/>
    <w:rsid w:val="002B5691"/>
    <w:rsid w:val="002B71C1"/>
    <w:rsid w:val="002C3675"/>
    <w:rsid w:val="002C452F"/>
    <w:rsid w:val="002C508E"/>
    <w:rsid w:val="002C6258"/>
    <w:rsid w:val="002D1BFA"/>
    <w:rsid w:val="002D1FE5"/>
    <w:rsid w:val="002D238A"/>
    <w:rsid w:val="002D2916"/>
    <w:rsid w:val="002D6BE0"/>
    <w:rsid w:val="002D70EF"/>
    <w:rsid w:val="002D72D5"/>
    <w:rsid w:val="002D7846"/>
    <w:rsid w:val="002E1B3B"/>
    <w:rsid w:val="002E3C8D"/>
    <w:rsid w:val="002E466F"/>
    <w:rsid w:val="002E5003"/>
    <w:rsid w:val="002E6394"/>
    <w:rsid w:val="002F12B9"/>
    <w:rsid w:val="00303A75"/>
    <w:rsid w:val="00305B04"/>
    <w:rsid w:val="003069D0"/>
    <w:rsid w:val="00307D11"/>
    <w:rsid w:val="00311AB1"/>
    <w:rsid w:val="0031265B"/>
    <w:rsid w:val="00312858"/>
    <w:rsid w:val="003176F1"/>
    <w:rsid w:val="00321C73"/>
    <w:rsid w:val="00324CD0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112C"/>
    <w:rsid w:val="00353CD8"/>
    <w:rsid w:val="00355073"/>
    <w:rsid w:val="00356402"/>
    <w:rsid w:val="00360417"/>
    <w:rsid w:val="00360CA2"/>
    <w:rsid w:val="00362A9A"/>
    <w:rsid w:val="00365AEF"/>
    <w:rsid w:val="00366610"/>
    <w:rsid w:val="00370B82"/>
    <w:rsid w:val="00372CC4"/>
    <w:rsid w:val="00372E46"/>
    <w:rsid w:val="003747AA"/>
    <w:rsid w:val="00374E89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97E78"/>
    <w:rsid w:val="003A2493"/>
    <w:rsid w:val="003A69BD"/>
    <w:rsid w:val="003B52FF"/>
    <w:rsid w:val="003C32A7"/>
    <w:rsid w:val="003C674B"/>
    <w:rsid w:val="003D1E13"/>
    <w:rsid w:val="003D21FA"/>
    <w:rsid w:val="003D3871"/>
    <w:rsid w:val="003D70DD"/>
    <w:rsid w:val="003D772C"/>
    <w:rsid w:val="003E1447"/>
    <w:rsid w:val="003E3395"/>
    <w:rsid w:val="003E499B"/>
    <w:rsid w:val="003E740B"/>
    <w:rsid w:val="003F4F92"/>
    <w:rsid w:val="003F798D"/>
    <w:rsid w:val="004106D8"/>
    <w:rsid w:val="00410FFB"/>
    <w:rsid w:val="00411FF0"/>
    <w:rsid w:val="00413F13"/>
    <w:rsid w:val="00416173"/>
    <w:rsid w:val="00417A0B"/>
    <w:rsid w:val="0042140D"/>
    <w:rsid w:val="00422DFB"/>
    <w:rsid w:val="00425E8A"/>
    <w:rsid w:val="004315E1"/>
    <w:rsid w:val="004316E0"/>
    <w:rsid w:val="00432E7D"/>
    <w:rsid w:val="004330BE"/>
    <w:rsid w:val="004356E7"/>
    <w:rsid w:val="00437259"/>
    <w:rsid w:val="00441E3E"/>
    <w:rsid w:val="00442846"/>
    <w:rsid w:val="00443A47"/>
    <w:rsid w:val="004455B3"/>
    <w:rsid w:val="0045469A"/>
    <w:rsid w:val="00455B0E"/>
    <w:rsid w:val="00457A2D"/>
    <w:rsid w:val="00457A4B"/>
    <w:rsid w:val="00457CB0"/>
    <w:rsid w:val="0046407F"/>
    <w:rsid w:val="00464627"/>
    <w:rsid w:val="00465E15"/>
    <w:rsid w:val="004667E5"/>
    <w:rsid w:val="004670AD"/>
    <w:rsid w:val="004716C4"/>
    <w:rsid w:val="00472A70"/>
    <w:rsid w:val="004755DB"/>
    <w:rsid w:val="00476078"/>
    <w:rsid w:val="004766B9"/>
    <w:rsid w:val="00476940"/>
    <w:rsid w:val="0048092C"/>
    <w:rsid w:val="004843F7"/>
    <w:rsid w:val="0048444A"/>
    <w:rsid w:val="00484DBB"/>
    <w:rsid w:val="00484E01"/>
    <w:rsid w:val="0049635A"/>
    <w:rsid w:val="004966B1"/>
    <w:rsid w:val="0049676D"/>
    <w:rsid w:val="00497CFC"/>
    <w:rsid w:val="004A3645"/>
    <w:rsid w:val="004B0345"/>
    <w:rsid w:val="004B0772"/>
    <w:rsid w:val="004B0D2A"/>
    <w:rsid w:val="004B1692"/>
    <w:rsid w:val="004B3FDB"/>
    <w:rsid w:val="004B60E5"/>
    <w:rsid w:val="004C0757"/>
    <w:rsid w:val="004C22D4"/>
    <w:rsid w:val="004C3E31"/>
    <w:rsid w:val="004C3F7F"/>
    <w:rsid w:val="004C52B0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0776"/>
    <w:rsid w:val="004F131F"/>
    <w:rsid w:val="004F1385"/>
    <w:rsid w:val="004F2406"/>
    <w:rsid w:val="004F2AB7"/>
    <w:rsid w:val="004F741B"/>
    <w:rsid w:val="00500187"/>
    <w:rsid w:val="00501966"/>
    <w:rsid w:val="005050E0"/>
    <w:rsid w:val="005115F3"/>
    <w:rsid w:val="00512DD4"/>
    <w:rsid w:val="005137FC"/>
    <w:rsid w:val="00521B28"/>
    <w:rsid w:val="0052508B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1549"/>
    <w:rsid w:val="005645AA"/>
    <w:rsid w:val="00564D97"/>
    <w:rsid w:val="00565DF0"/>
    <w:rsid w:val="005660B4"/>
    <w:rsid w:val="00570117"/>
    <w:rsid w:val="00572CBD"/>
    <w:rsid w:val="00577238"/>
    <w:rsid w:val="00583D8C"/>
    <w:rsid w:val="00586689"/>
    <w:rsid w:val="005868D0"/>
    <w:rsid w:val="00592EFA"/>
    <w:rsid w:val="00595B6D"/>
    <w:rsid w:val="00596DCB"/>
    <w:rsid w:val="005A2481"/>
    <w:rsid w:val="005A47FC"/>
    <w:rsid w:val="005A4BC4"/>
    <w:rsid w:val="005A514B"/>
    <w:rsid w:val="005A6A03"/>
    <w:rsid w:val="005A74C0"/>
    <w:rsid w:val="005B294C"/>
    <w:rsid w:val="005B5527"/>
    <w:rsid w:val="005C3328"/>
    <w:rsid w:val="005C4D3C"/>
    <w:rsid w:val="005C5ED1"/>
    <w:rsid w:val="005C5FD5"/>
    <w:rsid w:val="005C68E6"/>
    <w:rsid w:val="005C7AE0"/>
    <w:rsid w:val="005D367B"/>
    <w:rsid w:val="005D5339"/>
    <w:rsid w:val="005D631E"/>
    <w:rsid w:val="005E15A0"/>
    <w:rsid w:val="005E3D30"/>
    <w:rsid w:val="005E4178"/>
    <w:rsid w:val="005E439C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3BFD"/>
    <w:rsid w:val="00646943"/>
    <w:rsid w:val="00647303"/>
    <w:rsid w:val="006566F2"/>
    <w:rsid w:val="00656CB6"/>
    <w:rsid w:val="00657FEC"/>
    <w:rsid w:val="0066470E"/>
    <w:rsid w:val="0067321E"/>
    <w:rsid w:val="006741E5"/>
    <w:rsid w:val="0067730A"/>
    <w:rsid w:val="0067730C"/>
    <w:rsid w:val="00684731"/>
    <w:rsid w:val="00685990"/>
    <w:rsid w:val="00686DF2"/>
    <w:rsid w:val="00693425"/>
    <w:rsid w:val="00694D00"/>
    <w:rsid w:val="00695AE4"/>
    <w:rsid w:val="00696409"/>
    <w:rsid w:val="006A0C80"/>
    <w:rsid w:val="006A2C41"/>
    <w:rsid w:val="006A3AC1"/>
    <w:rsid w:val="006A4E0A"/>
    <w:rsid w:val="006B0AE2"/>
    <w:rsid w:val="006B11D1"/>
    <w:rsid w:val="006B173C"/>
    <w:rsid w:val="006B1909"/>
    <w:rsid w:val="006B1FD7"/>
    <w:rsid w:val="006B2163"/>
    <w:rsid w:val="006B63E8"/>
    <w:rsid w:val="006C0880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07D2"/>
    <w:rsid w:val="006F33F2"/>
    <w:rsid w:val="006F7AEE"/>
    <w:rsid w:val="007008A4"/>
    <w:rsid w:val="00701FF2"/>
    <w:rsid w:val="00702100"/>
    <w:rsid w:val="00703B20"/>
    <w:rsid w:val="00703C2C"/>
    <w:rsid w:val="00704DFF"/>
    <w:rsid w:val="00705397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25CE6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2D37"/>
    <w:rsid w:val="00783510"/>
    <w:rsid w:val="0078555D"/>
    <w:rsid w:val="007862AE"/>
    <w:rsid w:val="00787437"/>
    <w:rsid w:val="0078795E"/>
    <w:rsid w:val="00787F81"/>
    <w:rsid w:val="0079068E"/>
    <w:rsid w:val="007918DA"/>
    <w:rsid w:val="00792D5D"/>
    <w:rsid w:val="007A1130"/>
    <w:rsid w:val="007A60B7"/>
    <w:rsid w:val="007A6E34"/>
    <w:rsid w:val="007B12FF"/>
    <w:rsid w:val="007B27E2"/>
    <w:rsid w:val="007B7506"/>
    <w:rsid w:val="007C0A05"/>
    <w:rsid w:val="007C11D0"/>
    <w:rsid w:val="007C26C6"/>
    <w:rsid w:val="007C446A"/>
    <w:rsid w:val="007C5CB7"/>
    <w:rsid w:val="007C5FAE"/>
    <w:rsid w:val="007C6086"/>
    <w:rsid w:val="007D5743"/>
    <w:rsid w:val="007D5974"/>
    <w:rsid w:val="007E5C7D"/>
    <w:rsid w:val="007E7D9D"/>
    <w:rsid w:val="007F238B"/>
    <w:rsid w:val="007F3046"/>
    <w:rsid w:val="007F5271"/>
    <w:rsid w:val="00801D5A"/>
    <w:rsid w:val="00803B99"/>
    <w:rsid w:val="00805386"/>
    <w:rsid w:val="00806D5D"/>
    <w:rsid w:val="008071E1"/>
    <w:rsid w:val="00811E9A"/>
    <w:rsid w:val="00814C59"/>
    <w:rsid w:val="0081732A"/>
    <w:rsid w:val="008239F2"/>
    <w:rsid w:val="008358EE"/>
    <w:rsid w:val="00835FF8"/>
    <w:rsid w:val="008371A4"/>
    <w:rsid w:val="0084144F"/>
    <w:rsid w:val="00841533"/>
    <w:rsid w:val="00842B3B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95A71"/>
    <w:rsid w:val="008A1AD1"/>
    <w:rsid w:val="008B1792"/>
    <w:rsid w:val="008B4086"/>
    <w:rsid w:val="008B46B1"/>
    <w:rsid w:val="008B651B"/>
    <w:rsid w:val="008B786B"/>
    <w:rsid w:val="008C2FFC"/>
    <w:rsid w:val="008C366F"/>
    <w:rsid w:val="008C3ACC"/>
    <w:rsid w:val="008C4BB0"/>
    <w:rsid w:val="008D2AA6"/>
    <w:rsid w:val="008D7544"/>
    <w:rsid w:val="008E1981"/>
    <w:rsid w:val="008E3285"/>
    <w:rsid w:val="008F2096"/>
    <w:rsid w:val="008F3F88"/>
    <w:rsid w:val="008F64AC"/>
    <w:rsid w:val="008F73F7"/>
    <w:rsid w:val="008F7B88"/>
    <w:rsid w:val="00900C9B"/>
    <w:rsid w:val="009012EA"/>
    <w:rsid w:val="00904D32"/>
    <w:rsid w:val="00907FC1"/>
    <w:rsid w:val="009111D5"/>
    <w:rsid w:val="0091162A"/>
    <w:rsid w:val="00920002"/>
    <w:rsid w:val="00920B50"/>
    <w:rsid w:val="00922CBF"/>
    <w:rsid w:val="00925E76"/>
    <w:rsid w:val="009310E6"/>
    <w:rsid w:val="00933C0E"/>
    <w:rsid w:val="00936D7D"/>
    <w:rsid w:val="00937701"/>
    <w:rsid w:val="009378CE"/>
    <w:rsid w:val="009406C7"/>
    <w:rsid w:val="00941E57"/>
    <w:rsid w:val="00944A77"/>
    <w:rsid w:val="0094765B"/>
    <w:rsid w:val="00947DE8"/>
    <w:rsid w:val="00947DFE"/>
    <w:rsid w:val="009546B5"/>
    <w:rsid w:val="009572DC"/>
    <w:rsid w:val="00957D06"/>
    <w:rsid w:val="00963207"/>
    <w:rsid w:val="009652BC"/>
    <w:rsid w:val="00965B68"/>
    <w:rsid w:val="00965CC8"/>
    <w:rsid w:val="0096622F"/>
    <w:rsid w:val="00970DB3"/>
    <w:rsid w:val="00972341"/>
    <w:rsid w:val="009738A9"/>
    <w:rsid w:val="0097450D"/>
    <w:rsid w:val="00975D25"/>
    <w:rsid w:val="00977A3F"/>
    <w:rsid w:val="00982640"/>
    <w:rsid w:val="00987BD1"/>
    <w:rsid w:val="00990BB7"/>
    <w:rsid w:val="00990D10"/>
    <w:rsid w:val="00991C87"/>
    <w:rsid w:val="0099362B"/>
    <w:rsid w:val="00996838"/>
    <w:rsid w:val="009A144B"/>
    <w:rsid w:val="009A3BDF"/>
    <w:rsid w:val="009A3E87"/>
    <w:rsid w:val="009A4D50"/>
    <w:rsid w:val="009A5EAD"/>
    <w:rsid w:val="009A7332"/>
    <w:rsid w:val="009B1B47"/>
    <w:rsid w:val="009B2428"/>
    <w:rsid w:val="009B53FD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3166"/>
    <w:rsid w:val="009F351D"/>
    <w:rsid w:val="009F3A40"/>
    <w:rsid w:val="009F5219"/>
    <w:rsid w:val="00A038AB"/>
    <w:rsid w:val="00A04061"/>
    <w:rsid w:val="00A047AB"/>
    <w:rsid w:val="00A0723D"/>
    <w:rsid w:val="00A1026D"/>
    <w:rsid w:val="00A1111F"/>
    <w:rsid w:val="00A13AAD"/>
    <w:rsid w:val="00A150D2"/>
    <w:rsid w:val="00A1784A"/>
    <w:rsid w:val="00A22558"/>
    <w:rsid w:val="00A2547D"/>
    <w:rsid w:val="00A26259"/>
    <w:rsid w:val="00A30BC3"/>
    <w:rsid w:val="00A35492"/>
    <w:rsid w:val="00A40C4A"/>
    <w:rsid w:val="00A41BC9"/>
    <w:rsid w:val="00A4461D"/>
    <w:rsid w:val="00A44CC3"/>
    <w:rsid w:val="00A450CB"/>
    <w:rsid w:val="00A46DE0"/>
    <w:rsid w:val="00A47C5C"/>
    <w:rsid w:val="00A505DE"/>
    <w:rsid w:val="00A53018"/>
    <w:rsid w:val="00A54278"/>
    <w:rsid w:val="00A57721"/>
    <w:rsid w:val="00A6053A"/>
    <w:rsid w:val="00A63A94"/>
    <w:rsid w:val="00A64F35"/>
    <w:rsid w:val="00A67A48"/>
    <w:rsid w:val="00A70776"/>
    <w:rsid w:val="00A7218F"/>
    <w:rsid w:val="00A72273"/>
    <w:rsid w:val="00A76EA4"/>
    <w:rsid w:val="00A777C1"/>
    <w:rsid w:val="00A919A1"/>
    <w:rsid w:val="00A92778"/>
    <w:rsid w:val="00A96FF4"/>
    <w:rsid w:val="00A97795"/>
    <w:rsid w:val="00AA1B00"/>
    <w:rsid w:val="00AA1CB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E5D"/>
    <w:rsid w:val="00AC53D4"/>
    <w:rsid w:val="00AC591A"/>
    <w:rsid w:val="00AC5D84"/>
    <w:rsid w:val="00AC7B71"/>
    <w:rsid w:val="00AC7BB9"/>
    <w:rsid w:val="00AD2237"/>
    <w:rsid w:val="00AD69B0"/>
    <w:rsid w:val="00AE2157"/>
    <w:rsid w:val="00AE3A9E"/>
    <w:rsid w:val="00AE5825"/>
    <w:rsid w:val="00AE7939"/>
    <w:rsid w:val="00AF0DD1"/>
    <w:rsid w:val="00B00A96"/>
    <w:rsid w:val="00B0385E"/>
    <w:rsid w:val="00B03F25"/>
    <w:rsid w:val="00B109C9"/>
    <w:rsid w:val="00B118FB"/>
    <w:rsid w:val="00B1307D"/>
    <w:rsid w:val="00B1385B"/>
    <w:rsid w:val="00B152AA"/>
    <w:rsid w:val="00B17CFF"/>
    <w:rsid w:val="00B17E7B"/>
    <w:rsid w:val="00B22356"/>
    <w:rsid w:val="00B26C13"/>
    <w:rsid w:val="00B3230A"/>
    <w:rsid w:val="00B34F94"/>
    <w:rsid w:val="00B375C5"/>
    <w:rsid w:val="00B403E8"/>
    <w:rsid w:val="00B42CE7"/>
    <w:rsid w:val="00B453DD"/>
    <w:rsid w:val="00B5196A"/>
    <w:rsid w:val="00B51D43"/>
    <w:rsid w:val="00B52147"/>
    <w:rsid w:val="00B532A4"/>
    <w:rsid w:val="00B55D4E"/>
    <w:rsid w:val="00B62084"/>
    <w:rsid w:val="00B6525D"/>
    <w:rsid w:val="00B656CE"/>
    <w:rsid w:val="00B65C4A"/>
    <w:rsid w:val="00B6657F"/>
    <w:rsid w:val="00B73110"/>
    <w:rsid w:val="00B755C7"/>
    <w:rsid w:val="00B75AE8"/>
    <w:rsid w:val="00B779D3"/>
    <w:rsid w:val="00B8233A"/>
    <w:rsid w:val="00B8235F"/>
    <w:rsid w:val="00B84627"/>
    <w:rsid w:val="00B91DDE"/>
    <w:rsid w:val="00B929CB"/>
    <w:rsid w:val="00B93A41"/>
    <w:rsid w:val="00B964EF"/>
    <w:rsid w:val="00B97625"/>
    <w:rsid w:val="00BA2CD4"/>
    <w:rsid w:val="00BA505A"/>
    <w:rsid w:val="00BA5380"/>
    <w:rsid w:val="00BA68F8"/>
    <w:rsid w:val="00BB1D55"/>
    <w:rsid w:val="00BB3626"/>
    <w:rsid w:val="00BB421A"/>
    <w:rsid w:val="00BB4530"/>
    <w:rsid w:val="00BB63B2"/>
    <w:rsid w:val="00BC1BBC"/>
    <w:rsid w:val="00BC29F0"/>
    <w:rsid w:val="00BC2D46"/>
    <w:rsid w:val="00BC628C"/>
    <w:rsid w:val="00BD0E90"/>
    <w:rsid w:val="00BD29FB"/>
    <w:rsid w:val="00BD3099"/>
    <w:rsid w:val="00BD4D0D"/>
    <w:rsid w:val="00BD591B"/>
    <w:rsid w:val="00BD5FE5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D98"/>
    <w:rsid w:val="00C04E86"/>
    <w:rsid w:val="00C10182"/>
    <w:rsid w:val="00C11F55"/>
    <w:rsid w:val="00C16629"/>
    <w:rsid w:val="00C16A28"/>
    <w:rsid w:val="00C16ED1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82954"/>
    <w:rsid w:val="00C903D2"/>
    <w:rsid w:val="00C9067B"/>
    <w:rsid w:val="00C91843"/>
    <w:rsid w:val="00C92289"/>
    <w:rsid w:val="00C92BB2"/>
    <w:rsid w:val="00C93A89"/>
    <w:rsid w:val="00C93BD9"/>
    <w:rsid w:val="00C93C4B"/>
    <w:rsid w:val="00C93EEF"/>
    <w:rsid w:val="00C96BE6"/>
    <w:rsid w:val="00CA1BA7"/>
    <w:rsid w:val="00CA211B"/>
    <w:rsid w:val="00CA5B88"/>
    <w:rsid w:val="00CB3F1F"/>
    <w:rsid w:val="00CB40BF"/>
    <w:rsid w:val="00CB4974"/>
    <w:rsid w:val="00CD59EC"/>
    <w:rsid w:val="00CD7383"/>
    <w:rsid w:val="00CE09CF"/>
    <w:rsid w:val="00CE1613"/>
    <w:rsid w:val="00CE4C26"/>
    <w:rsid w:val="00CF23C1"/>
    <w:rsid w:val="00CF2612"/>
    <w:rsid w:val="00CF2B86"/>
    <w:rsid w:val="00CF3925"/>
    <w:rsid w:val="00CF4C6B"/>
    <w:rsid w:val="00CF5AE1"/>
    <w:rsid w:val="00D00723"/>
    <w:rsid w:val="00D00EDD"/>
    <w:rsid w:val="00D036E1"/>
    <w:rsid w:val="00D03FBE"/>
    <w:rsid w:val="00D04B00"/>
    <w:rsid w:val="00D14738"/>
    <w:rsid w:val="00D154D4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6978"/>
    <w:rsid w:val="00D675C0"/>
    <w:rsid w:val="00D70267"/>
    <w:rsid w:val="00D713FC"/>
    <w:rsid w:val="00D7231E"/>
    <w:rsid w:val="00D74569"/>
    <w:rsid w:val="00D74CED"/>
    <w:rsid w:val="00D75D5F"/>
    <w:rsid w:val="00D80C74"/>
    <w:rsid w:val="00D810AD"/>
    <w:rsid w:val="00D82022"/>
    <w:rsid w:val="00D92BEC"/>
    <w:rsid w:val="00D94BAA"/>
    <w:rsid w:val="00D956B4"/>
    <w:rsid w:val="00D96D29"/>
    <w:rsid w:val="00D97110"/>
    <w:rsid w:val="00DA0514"/>
    <w:rsid w:val="00DA26D8"/>
    <w:rsid w:val="00DA28CB"/>
    <w:rsid w:val="00DB1736"/>
    <w:rsid w:val="00DB22FE"/>
    <w:rsid w:val="00DB5BCD"/>
    <w:rsid w:val="00DB6757"/>
    <w:rsid w:val="00DB73EC"/>
    <w:rsid w:val="00DC2C3D"/>
    <w:rsid w:val="00DC361B"/>
    <w:rsid w:val="00DC3FDA"/>
    <w:rsid w:val="00DC44AA"/>
    <w:rsid w:val="00DC6AD0"/>
    <w:rsid w:val="00DD3377"/>
    <w:rsid w:val="00DD387E"/>
    <w:rsid w:val="00DD4903"/>
    <w:rsid w:val="00DD5E69"/>
    <w:rsid w:val="00DE06DF"/>
    <w:rsid w:val="00DE1AA7"/>
    <w:rsid w:val="00DE29E8"/>
    <w:rsid w:val="00DE4E60"/>
    <w:rsid w:val="00DE5642"/>
    <w:rsid w:val="00DE605B"/>
    <w:rsid w:val="00DF2519"/>
    <w:rsid w:val="00E10A60"/>
    <w:rsid w:val="00E11C51"/>
    <w:rsid w:val="00E13E3F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47B40"/>
    <w:rsid w:val="00E53AF1"/>
    <w:rsid w:val="00E55983"/>
    <w:rsid w:val="00E5727E"/>
    <w:rsid w:val="00E60B96"/>
    <w:rsid w:val="00E6165F"/>
    <w:rsid w:val="00E61A98"/>
    <w:rsid w:val="00E632B6"/>
    <w:rsid w:val="00E64989"/>
    <w:rsid w:val="00E64C72"/>
    <w:rsid w:val="00E7096D"/>
    <w:rsid w:val="00E73BFF"/>
    <w:rsid w:val="00E7764B"/>
    <w:rsid w:val="00E807E4"/>
    <w:rsid w:val="00E81A85"/>
    <w:rsid w:val="00E83C82"/>
    <w:rsid w:val="00E8522E"/>
    <w:rsid w:val="00E8526D"/>
    <w:rsid w:val="00E87ACE"/>
    <w:rsid w:val="00E96767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B6A97"/>
    <w:rsid w:val="00EB7987"/>
    <w:rsid w:val="00EC118F"/>
    <w:rsid w:val="00EC5680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49C2"/>
    <w:rsid w:val="00EF6D11"/>
    <w:rsid w:val="00F00621"/>
    <w:rsid w:val="00F0099D"/>
    <w:rsid w:val="00F036A5"/>
    <w:rsid w:val="00F04C23"/>
    <w:rsid w:val="00F0716E"/>
    <w:rsid w:val="00F1128D"/>
    <w:rsid w:val="00F15577"/>
    <w:rsid w:val="00F21A41"/>
    <w:rsid w:val="00F229CB"/>
    <w:rsid w:val="00F30AC2"/>
    <w:rsid w:val="00F34CCC"/>
    <w:rsid w:val="00F360B1"/>
    <w:rsid w:val="00F457B8"/>
    <w:rsid w:val="00F462E7"/>
    <w:rsid w:val="00F4640C"/>
    <w:rsid w:val="00F52A4F"/>
    <w:rsid w:val="00F53CA4"/>
    <w:rsid w:val="00F55D9F"/>
    <w:rsid w:val="00F57BEC"/>
    <w:rsid w:val="00F60168"/>
    <w:rsid w:val="00F6472B"/>
    <w:rsid w:val="00F7416C"/>
    <w:rsid w:val="00F742D9"/>
    <w:rsid w:val="00F752F6"/>
    <w:rsid w:val="00F77BF5"/>
    <w:rsid w:val="00F82662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953DC"/>
    <w:rsid w:val="00F9784F"/>
    <w:rsid w:val="00FA0C4E"/>
    <w:rsid w:val="00FA247E"/>
    <w:rsid w:val="00FA4861"/>
    <w:rsid w:val="00FB0281"/>
    <w:rsid w:val="00FB16A5"/>
    <w:rsid w:val="00FB4C67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0694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77AA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C1BBC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676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52147"/>
  </w:style>
  <w:style w:type="character" w:customStyle="1" w:styleId="Heading4Char">
    <w:name w:val="Heading 4 Char"/>
    <w:basedOn w:val="DefaultParagraphFont"/>
    <w:link w:val="Heading4"/>
    <w:uiPriority w:val="9"/>
    <w:rsid w:val="00BC1BB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7.org/fhir/clinicalreasoning-module.html#index-resources" TargetMode="External"/><Relationship Id="rId13" Type="http://schemas.openxmlformats.org/officeDocument/2006/relationships/hyperlink" Target="http://www.hl7.org/fhir/measur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l7.org/fhir/library.html" TargetMode="External"/><Relationship Id="rId17" Type="http://schemas.openxmlformats.org/officeDocument/2006/relationships/hyperlink" Target="http://www.hl7.org/fhir/servicedefini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l7.org/fhir/requestgroup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l7.org/fhir/guidancerespons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l7.org/fhir/plandefinition.html" TargetMode="External"/><Relationship Id="rId10" Type="http://schemas.openxmlformats.org/officeDocument/2006/relationships/hyperlink" Target="http://www.hl7.org/fhir/metadatatype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l7.org/fhir/activitydefinition.html" TargetMode="External"/><Relationship Id="rId14" Type="http://schemas.openxmlformats.org/officeDocument/2006/relationships/hyperlink" Target="http://www.hl7.org/fhir/measurere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5276</TotalTime>
  <Pages>19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Guilherme Del Fiol</cp:lastModifiedBy>
  <cp:revision>498</cp:revision>
  <dcterms:created xsi:type="dcterms:W3CDTF">2015-07-16T17:38:00Z</dcterms:created>
  <dcterms:modified xsi:type="dcterms:W3CDTF">2018-04-25T18:48:00Z</dcterms:modified>
</cp:coreProperties>
</file>