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D61649" w:rsidP="00A34AC1">
      <w:pPr>
        <w:rPr>
          <w:b/>
          <w:color w:val="1F497D"/>
        </w:rPr>
      </w:pPr>
      <w:r>
        <w:rPr>
          <w:b/>
          <w:color w:val="1F497D"/>
        </w:rPr>
        <w:t>May 15, 2014</w:t>
      </w:r>
    </w:p>
    <w:p w:rsidR="00A34AC1" w:rsidRPr="00A34AC1" w:rsidRDefault="00A34AC1" w:rsidP="00A34AC1">
      <w:pPr>
        <w:rPr>
          <w:color w:val="1F497D"/>
        </w:rPr>
      </w:pPr>
    </w:p>
    <w:p w:rsidR="00A34AC1" w:rsidRPr="00A34AC1" w:rsidRDefault="00A34AC1" w:rsidP="00A34AC1">
      <w:pPr>
        <w:rPr>
          <w:color w:val="1F497D"/>
        </w:rPr>
      </w:pPr>
      <w:r w:rsidRPr="00A34AC1">
        <w:rPr>
          <w:color w:val="1F497D"/>
        </w:rPr>
        <w:t>Participation Information</w:t>
      </w:r>
    </w:p>
    <w:p w:rsidR="00A34AC1" w:rsidRPr="00085BDA" w:rsidRDefault="00A34AC1" w:rsidP="00A34AC1">
      <w:pPr>
        <w:rPr>
          <w:color w:val="1F497D"/>
        </w:rPr>
      </w:pPr>
      <w:r w:rsidRPr="00085BDA">
        <w:rPr>
          <w:color w:val="1F497D"/>
        </w:rPr>
        <w:t>Phone Number: +1 770-657-9270</w:t>
      </w:r>
    </w:p>
    <w:p w:rsidR="00A34AC1" w:rsidRPr="00A34AC1" w:rsidRDefault="00A34AC1" w:rsidP="00A34AC1">
      <w:pPr>
        <w:rPr>
          <w:color w:val="1F497D"/>
        </w:rPr>
      </w:pPr>
      <w:r w:rsidRPr="00085BDA">
        <w:rPr>
          <w:color w:val="1F497D"/>
        </w:rPr>
        <w:t>Participant Passcode: 943377</w:t>
      </w:r>
    </w:p>
    <w:p w:rsidR="00A34AC1" w:rsidRPr="00A34AC1" w:rsidRDefault="00A34AC1" w:rsidP="00A34AC1">
      <w:pPr>
        <w:rPr>
          <w:color w:val="1F497D"/>
        </w:rPr>
      </w:pPr>
    </w:p>
    <w:p w:rsidR="00A34AC1" w:rsidRPr="00A34AC1" w:rsidRDefault="00A34AC1" w:rsidP="00A34AC1">
      <w:pPr>
        <w:rPr>
          <w:color w:val="1F497D"/>
        </w:rPr>
      </w:pPr>
      <w:r w:rsidRPr="00A34AC1">
        <w:rPr>
          <w:color w:val="1F497D"/>
        </w:rPr>
        <w:t>Web Meeting Info</w:t>
      </w:r>
    </w:p>
    <w:p w:rsidR="00A34AC1" w:rsidRPr="00A34AC1" w:rsidRDefault="00A34AC1" w:rsidP="00A34AC1">
      <w:pPr>
        <w:rPr>
          <w:color w:val="1F497D"/>
        </w:rPr>
      </w:pPr>
      <w:r w:rsidRPr="00A34AC1">
        <w:rPr>
          <w:color w:val="1F497D"/>
        </w:rPr>
        <w:t>www.webex.com</w:t>
      </w:r>
    </w:p>
    <w:p w:rsidR="00A34AC1" w:rsidRPr="00A34AC1" w:rsidRDefault="00A34AC1" w:rsidP="00A34AC1">
      <w:pPr>
        <w:rPr>
          <w:color w:val="1F497D"/>
        </w:rPr>
      </w:pPr>
      <w:r w:rsidRPr="00A34AC1">
        <w:rPr>
          <w:color w:val="1F497D"/>
        </w:rPr>
        <w:t>Meeting number 198 139 396</w:t>
      </w:r>
    </w:p>
    <w:p w:rsidR="00A34AC1" w:rsidRPr="00A34AC1" w:rsidRDefault="00A34AC1" w:rsidP="00A34AC1">
      <w:pPr>
        <w:rPr>
          <w:color w:val="1F497D"/>
        </w:rPr>
      </w:pPr>
    </w:p>
    <w:p w:rsidR="00A34AC1" w:rsidRDefault="00A34AC1" w:rsidP="00A34AC1">
      <w:pPr>
        <w:rPr>
          <w:b/>
          <w:color w:val="1F497D"/>
          <w:u w:val="single"/>
        </w:rPr>
      </w:pPr>
      <w:r w:rsidRPr="00E27361">
        <w:rPr>
          <w:b/>
          <w:color w:val="1F497D"/>
          <w:u w:val="single"/>
        </w:rPr>
        <w:t>Attendees:</w:t>
      </w:r>
    </w:p>
    <w:p w:rsidR="00A1083F" w:rsidRDefault="00A1083F" w:rsidP="00A34AC1">
      <w:pPr>
        <w:rPr>
          <w:color w:val="1F497D"/>
        </w:rPr>
      </w:pPr>
      <w:r>
        <w:rPr>
          <w:color w:val="1F497D"/>
        </w:rPr>
        <w:t>Elaine Ayres</w:t>
      </w:r>
    </w:p>
    <w:p w:rsidR="00D61649" w:rsidRDefault="00D61649" w:rsidP="00A34AC1">
      <w:pPr>
        <w:rPr>
          <w:color w:val="1F497D"/>
        </w:rPr>
      </w:pPr>
      <w:r>
        <w:rPr>
          <w:color w:val="1F497D"/>
        </w:rPr>
        <w:t>Stephen Chu</w:t>
      </w:r>
    </w:p>
    <w:p w:rsidR="00D61649" w:rsidRDefault="00D61649" w:rsidP="00A34AC1">
      <w:pPr>
        <w:rPr>
          <w:color w:val="1F497D"/>
        </w:rPr>
      </w:pPr>
      <w:r>
        <w:rPr>
          <w:color w:val="1F497D"/>
        </w:rPr>
        <w:t>Emma Jones</w:t>
      </w:r>
    </w:p>
    <w:p w:rsidR="00D61649" w:rsidRDefault="00D61649" w:rsidP="00A34AC1">
      <w:pPr>
        <w:rPr>
          <w:color w:val="1F497D"/>
        </w:rPr>
      </w:pPr>
      <w:r>
        <w:rPr>
          <w:color w:val="1F497D"/>
        </w:rPr>
        <w:t>Russ Leftwich</w:t>
      </w:r>
    </w:p>
    <w:p w:rsidR="00D61649" w:rsidRDefault="00D61649" w:rsidP="00A34AC1">
      <w:pPr>
        <w:rPr>
          <w:color w:val="1F497D"/>
        </w:rPr>
      </w:pPr>
      <w:r>
        <w:rPr>
          <w:color w:val="1F497D"/>
        </w:rPr>
        <w:t>Jay Lyle</w:t>
      </w:r>
    </w:p>
    <w:p w:rsidR="00D61649" w:rsidRDefault="00D61649" w:rsidP="00A34AC1">
      <w:pPr>
        <w:rPr>
          <w:color w:val="1F497D"/>
        </w:rPr>
      </w:pPr>
      <w:r>
        <w:rPr>
          <w:color w:val="1F497D"/>
        </w:rPr>
        <w:t xml:space="preserve">Paul </w:t>
      </w:r>
      <w:proofErr w:type="spellStart"/>
      <w:r>
        <w:rPr>
          <w:color w:val="1F497D"/>
        </w:rPr>
        <w:t>Lomayesva</w:t>
      </w:r>
      <w:proofErr w:type="spellEnd"/>
    </w:p>
    <w:p w:rsidR="00D61649" w:rsidRDefault="00D61649" w:rsidP="00A34AC1">
      <w:pPr>
        <w:rPr>
          <w:color w:val="1F497D"/>
        </w:rPr>
      </w:pPr>
      <w:r>
        <w:rPr>
          <w:color w:val="1F497D"/>
        </w:rPr>
        <w:t>Becky Angeles</w:t>
      </w:r>
    </w:p>
    <w:p w:rsidR="00D61649" w:rsidRDefault="00D61649" w:rsidP="00A34AC1">
      <w:pPr>
        <w:rPr>
          <w:color w:val="1F497D"/>
        </w:rPr>
      </w:pPr>
      <w:r>
        <w:rPr>
          <w:color w:val="1F497D"/>
        </w:rPr>
        <w:t>David Hay</w:t>
      </w:r>
    </w:p>
    <w:p w:rsidR="009B2B81" w:rsidRDefault="009B2B81" w:rsidP="00A34AC1">
      <w:pPr>
        <w:rPr>
          <w:color w:val="1F497D"/>
        </w:rPr>
      </w:pPr>
      <w:r>
        <w:rPr>
          <w:color w:val="1F497D"/>
        </w:rPr>
        <w:t>Peter Bernhardt</w:t>
      </w:r>
    </w:p>
    <w:p w:rsidR="009B2B81" w:rsidRDefault="009B2B81" w:rsidP="00A34AC1">
      <w:pPr>
        <w:rPr>
          <w:color w:val="1F497D"/>
        </w:rPr>
      </w:pPr>
      <w:r>
        <w:rPr>
          <w:color w:val="1F497D"/>
        </w:rPr>
        <w:t>Lloyd McKenzie</w:t>
      </w:r>
    </w:p>
    <w:p w:rsidR="009B2B81" w:rsidRDefault="009B2B81" w:rsidP="00A34AC1">
      <w:pPr>
        <w:rPr>
          <w:color w:val="1F497D"/>
        </w:rPr>
      </w:pPr>
      <w:r>
        <w:rPr>
          <w:color w:val="1F497D"/>
        </w:rPr>
        <w:t>Thomas Lukasik</w:t>
      </w:r>
    </w:p>
    <w:p w:rsidR="00C813E8" w:rsidRDefault="00C813E8" w:rsidP="00A34AC1">
      <w:pPr>
        <w:rPr>
          <w:color w:val="1F497D"/>
        </w:rPr>
      </w:pPr>
      <w:r>
        <w:rPr>
          <w:color w:val="1F497D"/>
        </w:rPr>
        <w:t xml:space="preserve">Iona </w:t>
      </w:r>
      <w:proofErr w:type="spellStart"/>
      <w:r>
        <w:rPr>
          <w:color w:val="1F497D"/>
        </w:rPr>
        <w:t>Threan</w:t>
      </w:r>
      <w:proofErr w:type="spellEnd"/>
    </w:p>
    <w:p w:rsidR="00875425" w:rsidRDefault="00875425" w:rsidP="00A34AC1">
      <w:pPr>
        <w:rPr>
          <w:color w:val="1F497D"/>
        </w:rPr>
      </w:pPr>
      <w:r>
        <w:rPr>
          <w:color w:val="1F497D"/>
        </w:rPr>
        <w:t xml:space="preserve">Igor </w:t>
      </w:r>
      <w:proofErr w:type="spellStart"/>
      <w:r>
        <w:rPr>
          <w:color w:val="1F497D"/>
        </w:rPr>
        <w:t>Sirkovich</w:t>
      </w:r>
      <w:proofErr w:type="spellEnd"/>
    </w:p>
    <w:p w:rsidR="00875425" w:rsidRDefault="00875425" w:rsidP="00A34AC1">
      <w:pPr>
        <w:rPr>
          <w:color w:val="1F497D"/>
        </w:rPr>
      </w:pPr>
      <w:r>
        <w:rPr>
          <w:color w:val="1F497D"/>
        </w:rPr>
        <w:t xml:space="preserve">Jim </w:t>
      </w:r>
      <w:proofErr w:type="spellStart"/>
      <w:r>
        <w:rPr>
          <w:color w:val="1F497D"/>
        </w:rPr>
        <w:t>McClay</w:t>
      </w:r>
      <w:proofErr w:type="spellEnd"/>
    </w:p>
    <w:p w:rsidR="00E84429" w:rsidRDefault="00E84429" w:rsidP="00A34AC1">
      <w:pPr>
        <w:rPr>
          <w:color w:val="1F497D"/>
        </w:rPr>
      </w:pPr>
      <w:r>
        <w:rPr>
          <w:color w:val="1F497D"/>
        </w:rPr>
        <w:t xml:space="preserve">Laura </w:t>
      </w:r>
      <w:proofErr w:type="spellStart"/>
      <w:r>
        <w:rPr>
          <w:color w:val="1F497D"/>
        </w:rPr>
        <w:t>Heerman</w:t>
      </w:r>
      <w:proofErr w:type="spellEnd"/>
      <w:r>
        <w:rPr>
          <w:color w:val="1F497D"/>
        </w:rPr>
        <w:t xml:space="preserve"> Langford</w:t>
      </w:r>
    </w:p>
    <w:p w:rsidR="00AD6999" w:rsidRDefault="00AD6999" w:rsidP="00A34AC1">
      <w:pPr>
        <w:rPr>
          <w:color w:val="1F497D"/>
        </w:rPr>
      </w:pP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 xml:space="preserve">Clinical </w:t>
      </w:r>
      <w:proofErr w:type="spellStart"/>
      <w:r w:rsidRPr="00CF6230">
        <w:rPr>
          <w:rFonts w:ascii="Calibri" w:hAnsi="Calibri"/>
          <w:color w:val="1F497D"/>
          <w:sz w:val="32"/>
          <w:szCs w:val="32"/>
        </w:rPr>
        <w:t>Connectathon</w:t>
      </w:r>
      <w:proofErr w:type="spellEnd"/>
      <w:r w:rsidRPr="00CF6230">
        <w:rPr>
          <w:rFonts w:ascii="Calibri" w:hAnsi="Calibri"/>
          <w:color w:val="1F497D"/>
          <w:sz w:val="32"/>
          <w:szCs w:val="32"/>
        </w:rPr>
        <w:t xml:space="preserve"> at Chicago WG meeting</w:t>
      </w: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PSS for Referral Resource</w:t>
      </w: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PSS for maintenance of current PC Resources and Profiles</w:t>
      </w: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Questionnaire Resource issues</w:t>
      </w: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Other topics</w:t>
      </w:r>
    </w:p>
    <w:p w:rsidR="00D61649" w:rsidRPr="00CF6230" w:rsidRDefault="00D61649" w:rsidP="00D61649">
      <w:pPr>
        <w:pStyle w:val="ListParagraph"/>
        <w:numPr>
          <w:ilvl w:val="0"/>
          <w:numId w:val="17"/>
        </w:numPr>
        <w:rPr>
          <w:rFonts w:ascii="Calibri" w:hAnsi="Calibri"/>
          <w:color w:val="1F497D"/>
          <w:sz w:val="32"/>
          <w:szCs w:val="32"/>
        </w:rPr>
      </w:pPr>
      <w:r w:rsidRPr="00CF6230">
        <w:rPr>
          <w:rFonts w:ascii="Calibri" w:hAnsi="Calibri"/>
          <w:color w:val="1F497D"/>
          <w:sz w:val="32"/>
          <w:szCs w:val="32"/>
        </w:rPr>
        <w:t>Agenda for next meeting – Thursday, May 22</w:t>
      </w:r>
    </w:p>
    <w:p w:rsidR="00D61649" w:rsidRDefault="00D61649" w:rsidP="00D61649">
      <w:pPr>
        <w:rPr>
          <w:rFonts w:ascii="Calibri" w:hAnsi="Calibri"/>
          <w:color w:val="1F497D"/>
          <w:sz w:val="32"/>
          <w:szCs w:val="32"/>
        </w:rPr>
      </w:pPr>
    </w:p>
    <w:p w:rsidR="009B2B81" w:rsidRPr="00AB555C" w:rsidRDefault="00C813E8" w:rsidP="00C813E8">
      <w:pPr>
        <w:pStyle w:val="ListParagraph"/>
        <w:numPr>
          <w:ilvl w:val="0"/>
          <w:numId w:val="18"/>
        </w:numPr>
        <w:rPr>
          <w:rFonts w:ascii="Calibri" w:hAnsi="Calibri"/>
          <w:color w:val="1F497D"/>
          <w:u w:val="single"/>
        </w:rPr>
      </w:pPr>
      <w:r w:rsidRPr="00AB555C">
        <w:rPr>
          <w:rFonts w:ascii="Calibri" w:hAnsi="Calibri"/>
          <w:color w:val="1F497D"/>
          <w:u w:val="single"/>
        </w:rPr>
        <w:t xml:space="preserve">Referral Resource – has </w:t>
      </w:r>
      <w:r w:rsidR="00D76985" w:rsidRPr="00AB555C">
        <w:rPr>
          <w:rFonts w:ascii="Calibri" w:hAnsi="Calibri"/>
          <w:color w:val="1F497D"/>
          <w:u w:val="single"/>
        </w:rPr>
        <w:t xml:space="preserve">a wiki page for the project.  </w:t>
      </w:r>
    </w:p>
    <w:p w:rsidR="00C813E8" w:rsidRDefault="00C813E8" w:rsidP="00C813E8">
      <w:pPr>
        <w:pStyle w:val="ListParagraph"/>
        <w:rPr>
          <w:rFonts w:ascii="Calibri" w:hAnsi="Calibri"/>
          <w:color w:val="1F497D"/>
        </w:rPr>
      </w:pPr>
      <w:r w:rsidRPr="00C813E8">
        <w:rPr>
          <w:rFonts w:ascii="Calibri" w:hAnsi="Calibri"/>
          <w:color w:val="1F497D"/>
        </w:rPr>
        <w:t xml:space="preserve">The </w:t>
      </w:r>
      <w:r>
        <w:rPr>
          <w:rFonts w:ascii="Calibri" w:hAnsi="Calibri"/>
          <w:color w:val="1F497D"/>
        </w:rPr>
        <w:t xml:space="preserve">Referral resource was reviewed by IHE and the PSS was reviewed in Phoenix.  </w:t>
      </w:r>
    </w:p>
    <w:p w:rsidR="00C813E8" w:rsidRDefault="00C813E8" w:rsidP="00C813E8">
      <w:pPr>
        <w:pStyle w:val="ListParagraph"/>
        <w:rPr>
          <w:rFonts w:ascii="Calibri" w:hAnsi="Calibri"/>
          <w:color w:val="1F497D"/>
        </w:rPr>
      </w:pPr>
      <w:r>
        <w:rPr>
          <w:rFonts w:ascii="Calibri" w:hAnsi="Calibri"/>
          <w:color w:val="1F497D"/>
        </w:rPr>
        <w:t xml:space="preserve">Group now reviewing the resource proposal.  </w:t>
      </w:r>
      <w:hyperlink r:id="rId9" w:history="1">
        <w:r w:rsidR="00D76985" w:rsidRPr="00EC5D1F">
          <w:rPr>
            <w:rStyle w:val="Hyperlink"/>
            <w:rFonts w:ascii="Calibri" w:hAnsi="Calibri"/>
          </w:rPr>
          <w:t>http://wiki.hl7.org/index.php?title=Referral_FHIR_Resource_Proposal</w:t>
        </w:r>
      </w:hyperlink>
    </w:p>
    <w:p w:rsidR="00D76985" w:rsidRDefault="00D76985" w:rsidP="00C813E8">
      <w:pPr>
        <w:pStyle w:val="ListParagraph"/>
        <w:rPr>
          <w:rFonts w:ascii="Calibri" w:hAnsi="Calibri"/>
          <w:color w:val="1F497D"/>
        </w:rPr>
      </w:pPr>
      <w:r>
        <w:rPr>
          <w:rFonts w:ascii="Calibri" w:hAnsi="Calibri"/>
          <w:color w:val="1F497D"/>
        </w:rPr>
        <w:lastRenderedPageBreak/>
        <w:t xml:space="preserve">Note that if will use the concepts of referral and transfer of care – will need clear differences and if so, two resource proposals.  </w:t>
      </w:r>
    </w:p>
    <w:p w:rsidR="00C44129" w:rsidRDefault="00C44129" w:rsidP="00C44129">
      <w:pPr>
        <w:pStyle w:val="ListParagraph"/>
        <w:ind w:left="0"/>
        <w:rPr>
          <w:rFonts w:ascii="Calibri" w:hAnsi="Calibri"/>
          <w:color w:val="1F497D"/>
        </w:rPr>
      </w:pPr>
      <w:r>
        <w:rPr>
          <w:rFonts w:ascii="Calibri" w:hAnsi="Calibri"/>
          <w:color w:val="1F497D"/>
        </w:rPr>
        <w:t xml:space="preserve">From a semantic and process perspective, referral and transfer of care (care giver gives up responsibility for care) are quite different.  </w:t>
      </w:r>
    </w:p>
    <w:p w:rsidR="00FD5A5A" w:rsidRDefault="00FD5A5A" w:rsidP="00C44129">
      <w:pPr>
        <w:pStyle w:val="ListParagraph"/>
        <w:ind w:left="0"/>
        <w:rPr>
          <w:rFonts w:ascii="Calibri" w:hAnsi="Calibri"/>
          <w:color w:val="1F497D"/>
        </w:rPr>
      </w:pPr>
    </w:p>
    <w:p w:rsidR="00FD5A5A" w:rsidRDefault="00FD5A5A" w:rsidP="00C44129">
      <w:pPr>
        <w:pStyle w:val="ListParagraph"/>
        <w:ind w:left="0"/>
        <w:rPr>
          <w:rFonts w:ascii="Calibri" w:hAnsi="Calibri"/>
          <w:color w:val="1F497D"/>
        </w:rPr>
      </w:pPr>
      <w:r>
        <w:rPr>
          <w:rFonts w:ascii="Calibri" w:hAnsi="Calibri"/>
          <w:color w:val="1F497D"/>
        </w:rPr>
        <w:t>In the US, transition of care includes a closed loop referral and a discharge.  A transfer of care is between two organizations, and transition of care is within an organization.  Russ will check MU documents for a definition.  Stephen will split into two resources – referral and transfer of care.</w:t>
      </w:r>
    </w:p>
    <w:p w:rsidR="00FD5A5A" w:rsidRDefault="00FD5A5A" w:rsidP="00C44129">
      <w:pPr>
        <w:pStyle w:val="ListParagraph"/>
        <w:ind w:left="0"/>
        <w:rPr>
          <w:rFonts w:ascii="Calibri" w:hAnsi="Calibri"/>
          <w:color w:val="1F497D"/>
        </w:rPr>
      </w:pPr>
    </w:p>
    <w:p w:rsidR="00FD5A5A" w:rsidRDefault="00FD5A5A" w:rsidP="00C44129">
      <w:pPr>
        <w:pStyle w:val="ListParagraph"/>
        <w:ind w:left="0"/>
        <w:rPr>
          <w:rFonts w:ascii="Calibri" w:hAnsi="Calibri"/>
          <w:color w:val="1F497D"/>
        </w:rPr>
      </w:pPr>
      <w:r>
        <w:rPr>
          <w:rFonts w:ascii="Calibri" w:hAnsi="Calibri"/>
          <w:color w:val="1F497D"/>
        </w:rPr>
        <w:t>From Resource Proposal:</w:t>
      </w:r>
    </w:p>
    <w:p w:rsidR="00FD5A5A" w:rsidRPr="00FD5A5A" w:rsidRDefault="00FD5A5A" w:rsidP="00FD5A5A">
      <w:pPr>
        <w:pStyle w:val="ListParagraph"/>
        <w:rPr>
          <w:rFonts w:ascii="Calibri" w:hAnsi="Calibri"/>
          <w:color w:val="1F497D"/>
        </w:rPr>
      </w:pPr>
      <w:r w:rsidRPr="00FD5A5A">
        <w:rPr>
          <w:rFonts w:ascii="Calibri" w:hAnsi="Calibri"/>
          <w:color w:val="1F497D"/>
        </w:rPr>
        <w:t>In scope:</w:t>
      </w:r>
    </w:p>
    <w:p w:rsidR="00FD5A5A" w:rsidRPr="00FD5A5A" w:rsidRDefault="00FD5A5A" w:rsidP="00FD5A5A">
      <w:pPr>
        <w:pStyle w:val="ListParagraph"/>
        <w:rPr>
          <w:rFonts w:ascii="Calibri" w:hAnsi="Calibri"/>
          <w:color w:val="1F497D"/>
        </w:rPr>
      </w:pPr>
      <w:r w:rsidRPr="00FD5A5A">
        <w:rPr>
          <w:rFonts w:ascii="Calibri" w:hAnsi="Calibri"/>
          <w:color w:val="1F497D"/>
        </w:rPr>
        <w:t xml:space="preserve">- Patients (especially those with complex health conditions) are care for by multi-disciplinary health care teams. They may also be transitioned between different health care settings (e.g. from acute care to rehabilitation or long term care/skilled nursing facilities). The referral and </w:t>
      </w:r>
      <w:r w:rsidRPr="00FD5A5A">
        <w:rPr>
          <w:rFonts w:ascii="Calibri" w:hAnsi="Calibri"/>
          <w:strike/>
          <w:color w:val="1F497D"/>
        </w:rPr>
        <w:t>transition of care</w:t>
      </w:r>
      <w:r w:rsidRPr="00FD5A5A">
        <w:rPr>
          <w:rFonts w:ascii="Calibri" w:hAnsi="Calibri"/>
          <w:color w:val="1F497D"/>
        </w:rPr>
        <w:t xml:space="preserve"> processes with appropriate supporting documents are required to initiate and complete these processes</w:t>
      </w:r>
    </w:p>
    <w:p w:rsidR="00FD5A5A" w:rsidRPr="00FD5A5A" w:rsidRDefault="00FD5A5A" w:rsidP="00FD5A5A">
      <w:pPr>
        <w:pStyle w:val="ListParagraph"/>
        <w:rPr>
          <w:rFonts w:ascii="Calibri" w:hAnsi="Calibri"/>
          <w:color w:val="1F497D"/>
        </w:rPr>
      </w:pPr>
      <w:r w:rsidRPr="00FD5A5A">
        <w:rPr>
          <w:rFonts w:ascii="Calibri" w:hAnsi="Calibri"/>
          <w:color w:val="1F497D"/>
        </w:rPr>
        <w:t xml:space="preserve">- The referral and </w:t>
      </w:r>
      <w:r w:rsidRPr="00FD5A5A">
        <w:rPr>
          <w:rFonts w:ascii="Calibri" w:hAnsi="Calibri"/>
          <w:strike/>
          <w:color w:val="1F497D"/>
        </w:rPr>
        <w:t xml:space="preserve">transition of care </w:t>
      </w:r>
      <w:r w:rsidRPr="00FD5A5A">
        <w:rPr>
          <w:rFonts w:ascii="Calibri" w:hAnsi="Calibri"/>
          <w:color w:val="1F497D"/>
        </w:rPr>
        <w:t>resources will be designed to enable exchange of crucial administrative and clinical information to support these processes</w:t>
      </w:r>
    </w:p>
    <w:p w:rsidR="00FD5A5A" w:rsidRPr="00FD5A5A" w:rsidRDefault="00FD5A5A" w:rsidP="00FD5A5A">
      <w:pPr>
        <w:pStyle w:val="ListParagraph"/>
        <w:rPr>
          <w:rFonts w:ascii="Calibri" w:hAnsi="Calibri"/>
          <w:color w:val="1F497D"/>
        </w:rPr>
      </w:pPr>
      <w:r w:rsidRPr="00FD5A5A">
        <w:rPr>
          <w:rFonts w:ascii="Calibri" w:hAnsi="Calibri"/>
          <w:color w:val="1F497D"/>
        </w:rPr>
        <w:t xml:space="preserve">- Administrative data are likely to include: Patient details, provider and provider </w:t>
      </w:r>
      <w:proofErr w:type="spellStart"/>
      <w:r w:rsidRPr="00FD5A5A">
        <w:rPr>
          <w:rFonts w:ascii="Calibri" w:hAnsi="Calibri"/>
          <w:color w:val="1F497D"/>
        </w:rPr>
        <w:t>organisation</w:t>
      </w:r>
      <w:proofErr w:type="spellEnd"/>
      <w:r w:rsidRPr="00FD5A5A">
        <w:rPr>
          <w:rFonts w:ascii="Calibri" w:hAnsi="Calibri"/>
          <w:color w:val="1F497D"/>
        </w:rPr>
        <w:t xml:space="preserve"> details (and others to be identified)</w:t>
      </w:r>
    </w:p>
    <w:p w:rsidR="00FD5A5A" w:rsidRPr="00FD5A5A" w:rsidRDefault="00FD5A5A" w:rsidP="00FD5A5A">
      <w:pPr>
        <w:pStyle w:val="ListParagraph"/>
        <w:rPr>
          <w:rFonts w:ascii="Calibri" w:hAnsi="Calibri"/>
          <w:color w:val="1F497D"/>
        </w:rPr>
      </w:pPr>
      <w:r w:rsidRPr="00FD5A5A">
        <w:rPr>
          <w:rFonts w:ascii="Calibri" w:hAnsi="Calibri"/>
          <w:color w:val="1F497D"/>
        </w:rPr>
        <w:t xml:space="preserve">- It is not uncommon for "care plan" or components of care plan to be included in a referral </w:t>
      </w:r>
      <w:r w:rsidRPr="00FD5A5A">
        <w:rPr>
          <w:rFonts w:ascii="Calibri" w:hAnsi="Calibri"/>
          <w:strike/>
          <w:color w:val="1F497D"/>
        </w:rPr>
        <w:t>or transition of care</w:t>
      </w:r>
      <w:r w:rsidRPr="00FD5A5A">
        <w:rPr>
          <w:rFonts w:ascii="Calibri" w:hAnsi="Calibri"/>
          <w:color w:val="1F497D"/>
        </w:rPr>
        <w:t xml:space="preserve"> information package</w:t>
      </w:r>
    </w:p>
    <w:p w:rsidR="00FD5A5A" w:rsidRPr="00FD5A5A" w:rsidRDefault="00FD5A5A" w:rsidP="00FD5A5A">
      <w:pPr>
        <w:pStyle w:val="ListParagraph"/>
        <w:rPr>
          <w:rFonts w:ascii="Calibri" w:hAnsi="Calibri"/>
          <w:color w:val="1F497D"/>
        </w:rPr>
      </w:pPr>
    </w:p>
    <w:p w:rsidR="00FD5A5A" w:rsidRPr="00FD5A5A" w:rsidRDefault="00FD5A5A" w:rsidP="00FD5A5A">
      <w:pPr>
        <w:pStyle w:val="ListParagraph"/>
        <w:rPr>
          <w:rFonts w:ascii="Calibri" w:hAnsi="Calibri"/>
          <w:color w:val="1F497D"/>
        </w:rPr>
      </w:pPr>
      <w:r w:rsidRPr="00FD5A5A">
        <w:rPr>
          <w:rFonts w:ascii="Calibri" w:hAnsi="Calibri"/>
          <w:color w:val="1F497D"/>
        </w:rPr>
        <w:t>Out of scope:</w:t>
      </w:r>
    </w:p>
    <w:p w:rsidR="00FD5A5A" w:rsidRDefault="00FD5A5A" w:rsidP="00FD5A5A">
      <w:pPr>
        <w:pStyle w:val="ListParagraph"/>
        <w:ind w:left="0"/>
        <w:rPr>
          <w:rFonts w:ascii="Calibri" w:hAnsi="Calibri"/>
          <w:color w:val="1F497D"/>
        </w:rPr>
      </w:pPr>
      <w:r w:rsidRPr="00FD5A5A">
        <w:rPr>
          <w:rFonts w:ascii="Calibri" w:hAnsi="Calibri"/>
          <w:color w:val="1F497D"/>
        </w:rPr>
        <w:t>- While it pathology and imaging studies requests are increasingly considered as a specialization of referral, until there is industry wide agreement on this thinking, such requests should use the Pathology and Imaging resources</w:t>
      </w:r>
      <w:r>
        <w:rPr>
          <w:rFonts w:ascii="Calibri" w:hAnsi="Calibri"/>
          <w:color w:val="1F497D"/>
        </w:rPr>
        <w:t xml:space="preserve"> (Modify)</w:t>
      </w:r>
    </w:p>
    <w:p w:rsidR="00FB44EF" w:rsidRDefault="00FB44EF" w:rsidP="00FD5A5A">
      <w:pPr>
        <w:pStyle w:val="ListParagraph"/>
        <w:ind w:left="0"/>
        <w:rPr>
          <w:rFonts w:ascii="Calibri" w:hAnsi="Calibri"/>
          <w:color w:val="1F497D"/>
        </w:rPr>
      </w:pPr>
    </w:p>
    <w:p w:rsidR="00FB44EF" w:rsidRDefault="00FB44EF" w:rsidP="00FD5A5A">
      <w:pPr>
        <w:pStyle w:val="ListParagraph"/>
        <w:ind w:left="0"/>
        <w:rPr>
          <w:rFonts w:ascii="Calibri" w:hAnsi="Calibri"/>
          <w:color w:val="1F497D"/>
        </w:rPr>
      </w:pPr>
      <w:r>
        <w:rPr>
          <w:rFonts w:ascii="Calibri" w:hAnsi="Calibri"/>
          <w:color w:val="1F497D"/>
        </w:rPr>
        <w:t>Will use PC DMIM’s and RMIM’s</w:t>
      </w:r>
    </w:p>
    <w:p w:rsidR="00ED2B6F" w:rsidRDefault="00ED2B6F" w:rsidP="00FD5A5A">
      <w:pPr>
        <w:pStyle w:val="ListParagraph"/>
        <w:ind w:left="0"/>
        <w:rPr>
          <w:rFonts w:ascii="Calibri" w:hAnsi="Calibri"/>
          <w:color w:val="1F497D"/>
        </w:rPr>
      </w:pPr>
    </w:p>
    <w:p w:rsidR="00AB555C" w:rsidRDefault="00ED2B6F" w:rsidP="00FD5A5A">
      <w:pPr>
        <w:pStyle w:val="ListParagraph"/>
        <w:ind w:left="0"/>
        <w:rPr>
          <w:rFonts w:ascii="Calibri" w:hAnsi="Calibri"/>
          <w:color w:val="1F497D"/>
        </w:rPr>
      </w:pPr>
      <w:r>
        <w:rPr>
          <w:rFonts w:ascii="Calibri" w:hAnsi="Calibri"/>
          <w:color w:val="1F497D"/>
        </w:rPr>
        <w:t xml:space="preserve">For scenarios – what is used?  A </w:t>
      </w:r>
      <w:proofErr w:type="spellStart"/>
      <w:r>
        <w:rPr>
          <w:rFonts w:ascii="Calibri" w:hAnsi="Calibri"/>
          <w:color w:val="1F497D"/>
        </w:rPr>
        <w:t>visio</w:t>
      </w:r>
      <w:proofErr w:type="spellEnd"/>
      <w:r>
        <w:rPr>
          <w:rFonts w:ascii="Calibri" w:hAnsi="Calibri"/>
          <w:color w:val="1F497D"/>
        </w:rPr>
        <w:t xml:space="preserve"> diagram</w:t>
      </w:r>
      <w:r w:rsidR="00AB555C">
        <w:rPr>
          <w:rFonts w:ascii="Calibri" w:hAnsi="Calibri"/>
          <w:color w:val="1F497D"/>
        </w:rPr>
        <w:t xml:space="preserve"> will be placed in the wiki.   O</w:t>
      </w:r>
      <w:r>
        <w:rPr>
          <w:rFonts w:ascii="Calibri" w:hAnsi="Calibri"/>
          <w:color w:val="1F497D"/>
        </w:rPr>
        <w:t>ther representation such</w:t>
      </w:r>
      <w:r w:rsidR="00AB555C">
        <w:rPr>
          <w:rFonts w:ascii="Calibri" w:hAnsi="Calibri"/>
          <w:color w:val="1F497D"/>
        </w:rPr>
        <w:t xml:space="preserve"> as use cases would be helpful in the resource proposal.  Show linkage between referral and other related resources such as order, </w:t>
      </w:r>
      <w:r w:rsidR="00D24FD4">
        <w:rPr>
          <w:rFonts w:ascii="Calibri" w:hAnsi="Calibri"/>
          <w:color w:val="1F497D"/>
        </w:rPr>
        <w:t xml:space="preserve">encounter, </w:t>
      </w:r>
      <w:r w:rsidR="00AB555C">
        <w:rPr>
          <w:rFonts w:ascii="Calibri" w:hAnsi="Calibri"/>
          <w:color w:val="1F497D"/>
        </w:rPr>
        <w:t xml:space="preserve">transfer of care etc.  </w:t>
      </w:r>
    </w:p>
    <w:p w:rsidR="00AB555C" w:rsidRDefault="00AB555C" w:rsidP="00FD5A5A">
      <w:pPr>
        <w:pStyle w:val="ListParagraph"/>
        <w:ind w:left="0"/>
        <w:rPr>
          <w:rFonts w:ascii="Calibri" w:hAnsi="Calibri"/>
          <w:color w:val="1F497D"/>
        </w:rPr>
      </w:pPr>
    </w:p>
    <w:p w:rsidR="00AB555C" w:rsidRDefault="00AB555C" w:rsidP="00FD5A5A">
      <w:pPr>
        <w:pStyle w:val="ListParagraph"/>
        <w:ind w:left="0"/>
        <w:rPr>
          <w:rFonts w:ascii="Calibri" w:hAnsi="Calibri"/>
          <w:color w:val="1F497D"/>
        </w:rPr>
      </w:pPr>
      <w:r>
        <w:rPr>
          <w:rFonts w:ascii="Calibri" w:hAnsi="Calibri"/>
          <w:color w:val="1F497D"/>
        </w:rPr>
        <w:t>Stephen will continue to work on these two resources and proposals.</w:t>
      </w:r>
    </w:p>
    <w:p w:rsidR="00AB555C" w:rsidRDefault="00AB555C" w:rsidP="00FD5A5A">
      <w:pPr>
        <w:pStyle w:val="ListParagraph"/>
        <w:ind w:left="0"/>
        <w:rPr>
          <w:rFonts w:ascii="Calibri" w:hAnsi="Calibri"/>
          <w:color w:val="1F497D"/>
        </w:rPr>
      </w:pPr>
      <w:r>
        <w:rPr>
          <w:rFonts w:ascii="Calibri" w:hAnsi="Calibri"/>
          <w:color w:val="1F497D"/>
        </w:rPr>
        <w:t xml:space="preserve">The referral resource will have a request and a request response.  </w:t>
      </w:r>
      <w:r w:rsidR="00D24FD4">
        <w:rPr>
          <w:rFonts w:ascii="Calibri" w:hAnsi="Calibri"/>
          <w:color w:val="1F497D"/>
        </w:rPr>
        <w:t xml:space="preserve"> Responses may be accept, reject, not sure </w:t>
      </w:r>
      <w:proofErr w:type="spellStart"/>
      <w:r w:rsidR="00D24FD4">
        <w:rPr>
          <w:rFonts w:ascii="Calibri" w:hAnsi="Calibri"/>
          <w:color w:val="1F497D"/>
        </w:rPr>
        <w:t>etc</w:t>
      </w:r>
      <w:proofErr w:type="spellEnd"/>
      <w:r w:rsidR="00D24FD4">
        <w:rPr>
          <w:rFonts w:ascii="Calibri" w:hAnsi="Calibri"/>
          <w:color w:val="1F497D"/>
        </w:rPr>
        <w:t xml:space="preserve">, or may be a clinical response.  The referrer may request updates.  The process response should use the order and order response resource.  Does a clinical response require a different resource?  </w:t>
      </w:r>
      <w:r w:rsidR="00C80796">
        <w:rPr>
          <w:rFonts w:ascii="Calibri" w:hAnsi="Calibri"/>
          <w:color w:val="1F497D"/>
        </w:rPr>
        <w:t xml:space="preserve">  Inclusion of the status and description could be an encounter, care transition, an appointment, or a refusal.  </w:t>
      </w:r>
    </w:p>
    <w:p w:rsidR="00C80796" w:rsidRDefault="00C80796" w:rsidP="00FD5A5A">
      <w:pPr>
        <w:pStyle w:val="ListParagraph"/>
        <w:ind w:left="0"/>
        <w:rPr>
          <w:rFonts w:ascii="Calibri" w:hAnsi="Calibri"/>
          <w:color w:val="1F497D"/>
        </w:rPr>
      </w:pPr>
    </w:p>
    <w:p w:rsidR="00C80796" w:rsidRDefault="00C80796" w:rsidP="00C80796">
      <w:pPr>
        <w:pStyle w:val="ListParagraph"/>
        <w:numPr>
          <w:ilvl w:val="0"/>
          <w:numId w:val="18"/>
        </w:numPr>
        <w:rPr>
          <w:rFonts w:ascii="Calibri" w:hAnsi="Calibri"/>
          <w:color w:val="1F497D"/>
        </w:rPr>
      </w:pPr>
      <w:r>
        <w:rPr>
          <w:rFonts w:ascii="Calibri" w:hAnsi="Calibri"/>
          <w:color w:val="1F497D"/>
        </w:rPr>
        <w:t xml:space="preserve">Clinical </w:t>
      </w:r>
      <w:proofErr w:type="spellStart"/>
      <w:r>
        <w:rPr>
          <w:rFonts w:ascii="Calibri" w:hAnsi="Calibri"/>
          <w:color w:val="1F497D"/>
        </w:rPr>
        <w:t>Connectathon</w:t>
      </w:r>
      <w:proofErr w:type="spellEnd"/>
      <w:r>
        <w:rPr>
          <w:rFonts w:ascii="Calibri" w:hAnsi="Calibri"/>
          <w:color w:val="1F497D"/>
        </w:rPr>
        <w:t xml:space="preserve"> – Chicago WG</w:t>
      </w:r>
    </w:p>
    <w:p w:rsidR="00C80796" w:rsidRDefault="00C80796" w:rsidP="00C80796">
      <w:pPr>
        <w:pStyle w:val="ListParagraph"/>
        <w:rPr>
          <w:rFonts w:ascii="Calibri" w:hAnsi="Calibri"/>
          <w:color w:val="1F497D"/>
        </w:rPr>
      </w:pPr>
      <w:r>
        <w:rPr>
          <w:rFonts w:ascii="Calibri" w:hAnsi="Calibri"/>
          <w:color w:val="1F497D"/>
        </w:rPr>
        <w:t xml:space="preserve">Russ – the workflow will be based on storyboards or use cases developed.  Create five concepts with the selection of three for the actual event.  Concept – have clinicians with </w:t>
      </w:r>
      <w:r>
        <w:rPr>
          <w:rFonts w:ascii="Calibri" w:hAnsi="Calibri"/>
          <w:color w:val="1F497D"/>
        </w:rPr>
        <w:lastRenderedPageBreak/>
        <w:t xml:space="preserve">a mock-up of a record for each of three use </w:t>
      </w:r>
      <w:proofErr w:type="gramStart"/>
      <w:r>
        <w:rPr>
          <w:rFonts w:ascii="Calibri" w:hAnsi="Calibri"/>
          <w:color w:val="1F497D"/>
        </w:rPr>
        <w:t>cases,</w:t>
      </w:r>
      <w:proofErr w:type="gramEnd"/>
      <w:r>
        <w:rPr>
          <w:rFonts w:ascii="Calibri" w:hAnsi="Calibri"/>
          <w:color w:val="1F497D"/>
        </w:rPr>
        <w:t xml:space="preserve"> input the data from the paper record into a system (test) and the data would be stored in repositories using FHIR resources.  The same clinicians would examine the data input by other clinicians for completeness.</w:t>
      </w:r>
    </w:p>
    <w:p w:rsidR="00C80796" w:rsidRDefault="00C80796" w:rsidP="00C80796">
      <w:pPr>
        <w:pStyle w:val="ListParagraph"/>
        <w:rPr>
          <w:rFonts w:ascii="Calibri" w:hAnsi="Calibri"/>
          <w:color w:val="1F497D"/>
        </w:rPr>
      </w:pPr>
    </w:p>
    <w:p w:rsidR="00C80796" w:rsidRDefault="00C80796" w:rsidP="00C80796">
      <w:pPr>
        <w:pStyle w:val="ListParagraph"/>
        <w:rPr>
          <w:rFonts w:ascii="Calibri" w:hAnsi="Calibri"/>
          <w:color w:val="1F497D"/>
        </w:rPr>
      </w:pPr>
      <w:r>
        <w:rPr>
          <w:rFonts w:ascii="Calibri" w:hAnsi="Calibri"/>
          <w:color w:val="1F497D"/>
        </w:rPr>
        <w:t xml:space="preserve">Would also recommend a post-review discussion re utility of FHIR resources as well as recommendations of how to improve them.  If resources and extensions do not meet the need, especially in terms of patient safety, would help drive discussion.  There will be a single system (not two) and everyone would use the same system.  </w:t>
      </w:r>
    </w:p>
    <w:p w:rsidR="00C80796" w:rsidRDefault="00C80796" w:rsidP="00C80796">
      <w:pPr>
        <w:pStyle w:val="ListParagraph"/>
        <w:rPr>
          <w:rFonts w:ascii="Calibri" w:hAnsi="Calibri"/>
          <w:color w:val="1F497D"/>
        </w:rPr>
      </w:pPr>
    </w:p>
    <w:p w:rsidR="00C80796" w:rsidRDefault="00C80796" w:rsidP="00C80796">
      <w:pPr>
        <w:pStyle w:val="ListParagraph"/>
        <w:rPr>
          <w:rFonts w:ascii="Calibri" w:hAnsi="Calibri"/>
          <w:color w:val="1F497D"/>
        </w:rPr>
      </w:pPr>
      <w:r>
        <w:rPr>
          <w:rFonts w:ascii="Calibri" w:hAnsi="Calibri"/>
          <w:color w:val="1F497D"/>
        </w:rPr>
        <w:t xml:space="preserve">How will the data be examined for completeness – what will be the view?  Using a UI human readable with terminology look-up.  This is not to represent work-flow, rather paper to electronic data entry.  </w:t>
      </w:r>
      <w:r w:rsidR="004133EA">
        <w:rPr>
          <w:rFonts w:ascii="Calibri" w:hAnsi="Calibri"/>
          <w:color w:val="1F497D"/>
        </w:rPr>
        <w:t xml:space="preserve">A shared repository will be viewed by multiple participants.  </w:t>
      </w:r>
    </w:p>
    <w:p w:rsidR="004133EA" w:rsidRDefault="004133EA" w:rsidP="00C80796">
      <w:pPr>
        <w:pStyle w:val="ListParagraph"/>
        <w:rPr>
          <w:rFonts w:ascii="Calibri" w:hAnsi="Calibri"/>
          <w:color w:val="1F497D"/>
        </w:rPr>
      </w:pPr>
    </w:p>
    <w:p w:rsidR="004133EA" w:rsidRDefault="004133EA" w:rsidP="00C80796">
      <w:pPr>
        <w:pStyle w:val="ListParagraph"/>
        <w:rPr>
          <w:rFonts w:ascii="Calibri" w:hAnsi="Calibri"/>
          <w:color w:val="1F497D"/>
        </w:rPr>
      </w:pPr>
      <w:r>
        <w:rPr>
          <w:rFonts w:ascii="Calibri" w:hAnsi="Calibri"/>
          <w:color w:val="1F497D"/>
        </w:rPr>
        <w:t>Key – enter the data into the UI and that it makes sense.  Also experience the variation of users.  Is there variation between users and the same resources?  Is it not intuitive and users are selecting the incorrect resource?</w:t>
      </w:r>
    </w:p>
    <w:p w:rsidR="008E027E" w:rsidRDefault="008E027E" w:rsidP="00C80796">
      <w:pPr>
        <w:pStyle w:val="ListParagraph"/>
        <w:rPr>
          <w:rFonts w:ascii="Calibri" w:hAnsi="Calibri"/>
          <w:color w:val="1F497D"/>
        </w:rPr>
      </w:pPr>
    </w:p>
    <w:p w:rsidR="008E027E" w:rsidRDefault="008E027E" w:rsidP="00C80796">
      <w:pPr>
        <w:pStyle w:val="ListParagraph"/>
        <w:rPr>
          <w:rFonts w:ascii="Calibri" w:hAnsi="Calibri"/>
          <w:color w:val="1F497D"/>
        </w:rPr>
      </w:pPr>
      <w:r>
        <w:rPr>
          <w:rFonts w:ascii="Calibri" w:hAnsi="Calibri"/>
          <w:color w:val="1F497D"/>
        </w:rPr>
        <w:t xml:space="preserve">Are they clinically adequate, clinically accurate and clinically valid?  </w:t>
      </w:r>
    </w:p>
    <w:p w:rsidR="008E027E" w:rsidRDefault="008E027E" w:rsidP="00C80796">
      <w:pPr>
        <w:pStyle w:val="ListParagraph"/>
        <w:rPr>
          <w:rFonts w:ascii="Calibri" w:hAnsi="Calibri"/>
          <w:color w:val="1F497D"/>
        </w:rPr>
      </w:pPr>
    </w:p>
    <w:p w:rsidR="008E027E" w:rsidRDefault="008E027E" w:rsidP="008E027E">
      <w:pPr>
        <w:pStyle w:val="ListParagraph"/>
        <w:rPr>
          <w:rFonts w:ascii="Calibri" w:hAnsi="Calibri"/>
          <w:color w:val="1F497D"/>
        </w:rPr>
      </w:pPr>
      <w:r>
        <w:rPr>
          <w:rFonts w:ascii="Calibri" w:hAnsi="Calibri"/>
          <w:color w:val="1F497D"/>
        </w:rPr>
        <w:t xml:space="preserve">Need participants that have some understanding of HL7 and FHIR to participate in a small group.  Goal – 10-20 clinicians who are HL7 members to participate.   Would need to tap a group from within </w:t>
      </w:r>
      <w:proofErr w:type="gramStart"/>
      <w:r>
        <w:rPr>
          <w:rFonts w:ascii="Calibri" w:hAnsi="Calibri"/>
          <w:color w:val="1F497D"/>
        </w:rPr>
        <w:t>HL7  WG’s</w:t>
      </w:r>
      <w:proofErr w:type="gramEnd"/>
      <w:r>
        <w:rPr>
          <w:rFonts w:ascii="Calibri" w:hAnsi="Calibri"/>
          <w:color w:val="1F497D"/>
        </w:rPr>
        <w:t xml:space="preserve"> to participate. </w:t>
      </w:r>
      <w:r w:rsidR="00776BA3">
        <w:rPr>
          <w:rFonts w:ascii="Calibri" w:hAnsi="Calibri"/>
          <w:color w:val="1F497D"/>
        </w:rPr>
        <w:t xml:space="preserve">  </w:t>
      </w:r>
    </w:p>
    <w:p w:rsidR="00776BA3" w:rsidRDefault="00776BA3" w:rsidP="008E027E">
      <w:pPr>
        <w:pStyle w:val="ListParagraph"/>
        <w:rPr>
          <w:rFonts w:ascii="Calibri" w:hAnsi="Calibri"/>
          <w:color w:val="1F497D"/>
        </w:rPr>
      </w:pPr>
    </w:p>
    <w:p w:rsidR="00776BA3" w:rsidRDefault="00776BA3" w:rsidP="008E027E">
      <w:pPr>
        <w:pStyle w:val="ListParagraph"/>
        <w:rPr>
          <w:rFonts w:ascii="Calibri" w:hAnsi="Calibri"/>
          <w:color w:val="1F497D"/>
        </w:rPr>
      </w:pPr>
      <w:r>
        <w:rPr>
          <w:rFonts w:ascii="Calibri" w:hAnsi="Calibri"/>
          <w:color w:val="1F497D"/>
        </w:rPr>
        <w:t>This event will be held on Friday, September 19</w:t>
      </w:r>
      <w:r w:rsidRPr="00776BA3">
        <w:rPr>
          <w:rFonts w:ascii="Calibri" w:hAnsi="Calibri"/>
          <w:color w:val="1F497D"/>
          <w:vertAlign w:val="superscript"/>
        </w:rPr>
        <w:t>th</w:t>
      </w:r>
      <w:r>
        <w:rPr>
          <w:rFonts w:ascii="Calibri" w:hAnsi="Calibri"/>
          <w:color w:val="1F497D"/>
        </w:rPr>
        <w:t>.  Note the IHE event is the week prior.</w:t>
      </w:r>
    </w:p>
    <w:p w:rsidR="00776BA3" w:rsidRDefault="00776BA3" w:rsidP="008E027E">
      <w:pPr>
        <w:pStyle w:val="ListParagraph"/>
        <w:rPr>
          <w:rFonts w:ascii="Calibri" w:hAnsi="Calibri"/>
          <w:color w:val="1F497D"/>
        </w:rPr>
      </w:pPr>
    </w:p>
    <w:p w:rsidR="00776BA3" w:rsidRDefault="00776BA3" w:rsidP="008E027E">
      <w:pPr>
        <w:pStyle w:val="ListParagraph"/>
        <w:rPr>
          <w:rFonts w:ascii="Calibri" w:hAnsi="Calibri"/>
          <w:color w:val="1F497D"/>
        </w:rPr>
      </w:pPr>
      <w:r>
        <w:rPr>
          <w:rFonts w:ascii="Calibri" w:hAnsi="Calibri"/>
          <w:color w:val="1F497D"/>
        </w:rPr>
        <w:t xml:space="preserve">Don’t let the resources drive the scenarios – rather bring true clinical scenarios.  What is there not an appropriate resource to use?  </w:t>
      </w:r>
    </w:p>
    <w:p w:rsidR="00776BA3" w:rsidRDefault="00776BA3" w:rsidP="008E027E">
      <w:pPr>
        <w:pStyle w:val="ListParagraph"/>
        <w:rPr>
          <w:rFonts w:ascii="Calibri" w:hAnsi="Calibri"/>
          <w:color w:val="1F497D"/>
        </w:rPr>
      </w:pPr>
    </w:p>
    <w:p w:rsidR="00776BA3" w:rsidRDefault="00776BA3" w:rsidP="008E027E">
      <w:pPr>
        <w:pStyle w:val="ListParagraph"/>
        <w:rPr>
          <w:rFonts w:ascii="Calibri" w:hAnsi="Calibri"/>
          <w:color w:val="1F497D"/>
        </w:rPr>
      </w:pPr>
      <w:r>
        <w:rPr>
          <w:rFonts w:ascii="Calibri" w:hAnsi="Calibri"/>
          <w:color w:val="1F497D"/>
        </w:rPr>
        <w:t xml:space="preserve">Next steps – nominate five scenarios to use.  </w:t>
      </w:r>
    </w:p>
    <w:p w:rsidR="00776BA3" w:rsidRDefault="00776BA3" w:rsidP="008E027E">
      <w:pPr>
        <w:pStyle w:val="ListParagraph"/>
        <w:rPr>
          <w:rFonts w:ascii="Calibri" w:hAnsi="Calibri"/>
          <w:color w:val="1F497D"/>
        </w:rPr>
      </w:pPr>
      <w:r>
        <w:rPr>
          <w:rFonts w:ascii="Calibri" w:hAnsi="Calibri"/>
          <w:color w:val="1F497D"/>
        </w:rPr>
        <w:t xml:space="preserve">VA has a specific referral process with forms – can use as an example.  Iona will provide. </w:t>
      </w:r>
    </w:p>
    <w:p w:rsidR="00DA76A7" w:rsidRDefault="00776BA3" w:rsidP="008E027E">
      <w:pPr>
        <w:pStyle w:val="ListParagraph"/>
        <w:rPr>
          <w:rFonts w:ascii="Calibri" w:hAnsi="Calibri"/>
          <w:color w:val="1F497D"/>
        </w:rPr>
      </w:pPr>
      <w:r>
        <w:rPr>
          <w:rFonts w:ascii="Calibri" w:hAnsi="Calibri"/>
          <w:color w:val="1F497D"/>
        </w:rPr>
        <w:t>Use the scenarios in the Care Plan DAM –</w:t>
      </w:r>
      <w:r w:rsidR="00DA76A7">
        <w:rPr>
          <w:rFonts w:ascii="Calibri" w:hAnsi="Calibri"/>
          <w:color w:val="1F497D"/>
        </w:rPr>
        <w:t xml:space="preserve"> has a variety of scenarios:</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Acute Care (Includes Primary Care Provider Encounter, Second Outpatient Encounter, Emergency Medical Services and Pre-Hospital Care, and Emergency Department Encounter)</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Chronic Conditions (Includes Primary Care Physician Initial Visit, Allied Health Care Provider, Hospital Admission, Primary Care Follow up Visit)</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Home Care (Includes Hospital Discharge, Ambulatory Rehabilitation Clinic Visit, Home Health Care Visit, Primary Care Visit, Dietitian Visit)</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Pediatric Allergy (Includes Primary Care Physician Initial Visit for Seasonal Allergy and Contact Dermatitis, Allied Health Care Provider Visit, Visit to Allergist (Specialist Physician 3 months later, Primary Care Follow up Visits)</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Pediatric Immunization (Includes Annual Well Child Visit with Initial Vaccination, Return Visit for First booster injection, Return visit for second booster injection)</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 xml:space="preserve">Perinatology (Includes First Pregnancy Visit, Post Ultrasound Visit, First </w:t>
      </w:r>
      <w:proofErr w:type="spellStart"/>
      <w:r w:rsidRPr="00DA76A7">
        <w:rPr>
          <w:rFonts w:ascii="Calibri" w:eastAsia="Calibri" w:hAnsi="Calibri" w:cs="Times New Roman"/>
          <w:color w:val="244061" w:themeColor="accent1" w:themeShade="80"/>
          <w:sz w:val="20"/>
          <w:szCs w:val="20"/>
        </w:rPr>
        <w:t>Perinatologist</w:t>
      </w:r>
      <w:proofErr w:type="spellEnd"/>
      <w:r w:rsidRPr="00DA76A7">
        <w:rPr>
          <w:rFonts w:ascii="Calibri" w:eastAsia="Calibri" w:hAnsi="Calibri" w:cs="Times New Roman"/>
          <w:color w:val="244061" w:themeColor="accent1" w:themeShade="80"/>
          <w:sz w:val="20"/>
          <w:szCs w:val="20"/>
        </w:rPr>
        <w:t xml:space="preserve"> Visit, Giving Birth)</w:t>
      </w:r>
    </w:p>
    <w:p w:rsidR="00DA76A7" w:rsidRPr="00DA76A7" w:rsidRDefault="00DA76A7" w:rsidP="00DA76A7">
      <w:pPr>
        <w:pStyle w:val="ListParagraph"/>
        <w:numPr>
          <w:ilvl w:val="0"/>
          <w:numId w:val="20"/>
        </w:numPr>
        <w:rPr>
          <w:rFonts w:ascii="Calibri" w:eastAsia="Calibri" w:hAnsi="Calibri" w:cs="Times New Roman"/>
          <w:color w:val="244061" w:themeColor="accent1" w:themeShade="80"/>
          <w:sz w:val="20"/>
          <w:szCs w:val="20"/>
        </w:rPr>
      </w:pPr>
      <w:r w:rsidRPr="00DA76A7">
        <w:rPr>
          <w:rFonts w:ascii="Calibri" w:eastAsia="Calibri" w:hAnsi="Calibri" w:cs="Times New Roman"/>
          <w:color w:val="244061" w:themeColor="accent1" w:themeShade="80"/>
          <w:sz w:val="20"/>
          <w:szCs w:val="20"/>
        </w:rPr>
        <w:t>Stay Healthy/Health Promotion (Includes Visit to Primary Care Physician, Dietician Visit, Follow up Dietician Visit, Primary Care follow up)</w:t>
      </w:r>
    </w:p>
    <w:p w:rsidR="00DA76A7" w:rsidRDefault="00DA76A7" w:rsidP="008E027E">
      <w:pPr>
        <w:pStyle w:val="ListParagraph"/>
        <w:rPr>
          <w:rFonts w:ascii="Calibri" w:hAnsi="Calibri"/>
          <w:color w:val="1F497D"/>
        </w:rPr>
      </w:pPr>
    </w:p>
    <w:p w:rsidR="00776BA3" w:rsidRDefault="00776BA3" w:rsidP="008E027E">
      <w:pPr>
        <w:pStyle w:val="ListParagraph"/>
        <w:rPr>
          <w:rFonts w:ascii="Calibri" w:hAnsi="Calibri"/>
          <w:color w:val="1F497D"/>
        </w:rPr>
      </w:pPr>
      <w:r>
        <w:rPr>
          <w:rFonts w:ascii="Calibri" w:hAnsi="Calibri"/>
          <w:color w:val="1F497D"/>
        </w:rPr>
        <w:t xml:space="preserve">Once we have the scenarios, see what resources would be used.  </w:t>
      </w:r>
      <w:r w:rsidR="002B192F">
        <w:rPr>
          <w:rFonts w:ascii="Calibri" w:hAnsi="Calibri"/>
          <w:color w:val="1F497D"/>
        </w:rPr>
        <w:t xml:space="preserve">Look at the resources required during the next meeting.  With Jim’s scenario, how much do we need to constrain to meet the needs, e.g. patient entering the data.  Can look at a questionnaire and enter.  </w:t>
      </w:r>
    </w:p>
    <w:p w:rsidR="00C64144" w:rsidRDefault="00C64144" w:rsidP="008E027E">
      <w:pPr>
        <w:pStyle w:val="ListParagraph"/>
        <w:rPr>
          <w:rFonts w:ascii="Calibri" w:hAnsi="Calibri"/>
          <w:color w:val="1F497D"/>
        </w:rPr>
      </w:pPr>
    </w:p>
    <w:p w:rsidR="00C64144" w:rsidRPr="00DA76A7" w:rsidRDefault="00C64144" w:rsidP="00DA76A7">
      <w:pPr>
        <w:pStyle w:val="ListParagraph"/>
        <w:numPr>
          <w:ilvl w:val="0"/>
          <w:numId w:val="21"/>
        </w:numPr>
        <w:rPr>
          <w:rFonts w:ascii="Calibri" w:hAnsi="Calibri"/>
          <w:color w:val="1F497D"/>
        </w:rPr>
      </w:pPr>
      <w:bookmarkStart w:id="0" w:name="_GoBack"/>
      <w:bookmarkEnd w:id="0"/>
      <w:r w:rsidRPr="00DA76A7">
        <w:rPr>
          <w:rFonts w:ascii="Calibri" w:hAnsi="Calibri"/>
          <w:color w:val="1F497D"/>
        </w:rPr>
        <w:t>Questionnaire – proposed changes.</w:t>
      </w:r>
    </w:p>
    <w:p w:rsidR="00C64144" w:rsidRPr="008E027E" w:rsidRDefault="00C64144" w:rsidP="00DA76A7">
      <w:pPr>
        <w:pStyle w:val="ListParagraph"/>
        <w:numPr>
          <w:ilvl w:val="1"/>
          <w:numId w:val="21"/>
        </w:numPr>
        <w:rPr>
          <w:rFonts w:ascii="Calibri" w:hAnsi="Calibri"/>
          <w:color w:val="1F497D"/>
        </w:rPr>
      </w:pPr>
      <w:r>
        <w:rPr>
          <w:rFonts w:ascii="Calibri" w:hAnsi="Calibri"/>
          <w:color w:val="1F497D"/>
        </w:rPr>
        <w:t xml:space="preserve">Lloyd will circulate a list of proposed changes and the suggested fixes.  Can block vote next week.  </w:t>
      </w:r>
    </w:p>
    <w:p w:rsidR="00AB555C" w:rsidRDefault="00AB555C" w:rsidP="00FD5A5A">
      <w:pPr>
        <w:pStyle w:val="ListParagraph"/>
        <w:ind w:left="0"/>
        <w:rPr>
          <w:rFonts w:ascii="Calibri" w:hAnsi="Calibri"/>
          <w:color w:val="1F497D"/>
        </w:rPr>
      </w:pPr>
    </w:p>
    <w:p w:rsidR="00AB555C" w:rsidRDefault="00AB555C" w:rsidP="00FD5A5A">
      <w:pPr>
        <w:pStyle w:val="ListParagraph"/>
        <w:ind w:left="0"/>
        <w:rPr>
          <w:rFonts w:ascii="Calibri" w:hAnsi="Calibri"/>
          <w:color w:val="1F497D"/>
        </w:rPr>
      </w:pPr>
    </w:p>
    <w:p w:rsidR="00ED2B6F" w:rsidRPr="00C813E8" w:rsidRDefault="00ED2B6F" w:rsidP="00FD5A5A">
      <w:pPr>
        <w:pStyle w:val="ListParagraph"/>
        <w:ind w:left="0"/>
        <w:rPr>
          <w:rFonts w:ascii="Calibri" w:hAnsi="Calibri"/>
          <w:color w:val="1F497D"/>
        </w:rPr>
      </w:pPr>
      <w:r>
        <w:rPr>
          <w:rFonts w:ascii="Calibri" w:hAnsi="Calibri"/>
          <w:color w:val="1F497D"/>
        </w:rPr>
        <w:t xml:space="preserve"> </w:t>
      </w:r>
    </w:p>
    <w:p w:rsidR="001C502F" w:rsidRPr="00C813E8" w:rsidRDefault="001C502F" w:rsidP="001C502F">
      <w:pPr>
        <w:rPr>
          <w:color w:val="1F497D"/>
        </w:rPr>
      </w:pPr>
    </w:p>
    <w:p w:rsidR="001C502F" w:rsidRDefault="001C502F" w:rsidP="001C502F">
      <w:pPr>
        <w:rPr>
          <w:color w:val="1F497D"/>
        </w:rPr>
      </w:pPr>
      <w:r w:rsidRPr="00A34AC1">
        <w:rPr>
          <w:color w:val="1F497D"/>
        </w:rPr>
        <w:t xml:space="preserve">Current Patient Care FHIR Resources:  </w:t>
      </w:r>
      <w:hyperlink r:id="rId10" w:history="1">
        <w:r w:rsidRPr="00A34AC1">
          <w:rPr>
            <w:rStyle w:val="Hyperlink"/>
          </w:rPr>
          <w:t>http://www.hl7.org/implement/standards/FHIR-Develop/?ref=learnmore</w:t>
        </w:r>
      </w:hyperlink>
    </w:p>
    <w:p w:rsidR="001C502F" w:rsidRPr="00810AF7" w:rsidRDefault="001C502F" w:rsidP="001C502F">
      <w:pPr>
        <w:rPr>
          <w:rFonts w:ascii="Times New Roman" w:eastAsia="Calibri" w:hAnsi="Times New Roman" w:cs="Times New Roman"/>
        </w:rPr>
      </w:pPr>
    </w:p>
    <w:p w:rsidR="001C502F" w:rsidRPr="00810AF7" w:rsidRDefault="001C502F" w:rsidP="001C502F">
      <w:pPr>
        <w:rPr>
          <w:rFonts w:ascii="Times New Roman" w:eastAsia="Calibri" w:hAnsi="Times New Roman" w:cs="Times New Roman"/>
        </w:rPr>
      </w:pPr>
      <w:r w:rsidRPr="00810AF7">
        <w:rPr>
          <w:rFonts w:ascii="Times New Roman" w:eastAsia="Calibri" w:hAnsi="Times New Roman" w:cs="Times New Roman"/>
        </w:rPr>
        <w:t xml:space="preserve">The FHIR issue tracker in </w:t>
      </w:r>
      <w:proofErr w:type="spellStart"/>
      <w:r w:rsidRPr="00810AF7">
        <w:rPr>
          <w:rFonts w:ascii="Times New Roman" w:eastAsia="Calibri" w:hAnsi="Times New Roman" w:cs="Times New Roman"/>
        </w:rPr>
        <w:t>gForge</w:t>
      </w:r>
      <w:proofErr w:type="spellEnd"/>
      <w:r w:rsidRPr="00810AF7">
        <w:rPr>
          <w:rFonts w:ascii="Times New Roman" w:eastAsia="Calibri" w:hAnsi="Times New Roman" w:cs="Times New Roman"/>
        </w:rPr>
        <w:t>: </w:t>
      </w:r>
    </w:p>
    <w:p w:rsidR="001C502F" w:rsidRPr="00810AF7" w:rsidRDefault="00DA76A7" w:rsidP="001C502F">
      <w:pPr>
        <w:rPr>
          <w:rFonts w:ascii="Times New Roman" w:eastAsia="Calibri" w:hAnsi="Times New Roman" w:cs="Times New Roman"/>
        </w:rPr>
      </w:pPr>
      <w:hyperlink r:id="rId11" w:history="1">
        <w:r w:rsidR="001C502F" w:rsidRPr="00810AF7">
          <w:rPr>
            <w:rFonts w:ascii="Times New Roman" w:eastAsia="Calibri" w:hAnsi="Times New Roman" w:cs="Times New Roman"/>
            <w:color w:val="0000FF"/>
            <w:u w:val="single"/>
          </w:rPr>
          <w:t>http://gforge.hl7.org/gf/project/fhir/tracker/?action=TrackerItemBrowse&amp;tracker_id=677</w:t>
        </w:r>
      </w:hyperlink>
    </w:p>
    <w:p w:rsidR="001C502F" w:rsidRPr="00810AF7" w:rsidRDefault="001C502F" w:rsidP="001C502F">
      <w:pPr>
        <w:rPr>
          <w:rFonts w:ascii="Times New Roman" w:eastAsia="Calibri" w:hAnsi="Times New Roman" w:cs="Times New Roman"/>
        </w:rPr>
      </w:pPr>
    </w:p>
    <w:p w:rsidR="001C502F" w:rsidRPr="00810AF7" w:rsidRDefault="001C502F" w:rsidP="001C502F">
      <w:pPr>
        <w:rPr>
          <w:rFonts w:eastAsia="Calibri" w:cs="Arial"/>
        </w:rPr>
      </w:pPr>
      <w:r w:rsidRPr="00810AF7">
        <w:rPr>
          <w:rFonts w:eastAsia="Calibri" w:cs="Arial"/>
        </w:rPr>
        <w:t>All resource proposals</w:t>
      </w:r>
    </w:p>
    <w:p w:rsidR="001C502F" w:rsidRPr="00810AF7" w:rsidRDefault="00DA76A7" w:rsidP="001C502F">
      <w:pPr>
        <w:rPr>
          <w:rFonts w:ascii="Times New Roman" w:eastAsia="Calibri" w:hAnsi="Times New Roman" w:cs="Times New Roman"/>
        </w:rPr>
      </w:pPr>
      <w:hyperlink r:id="rId12" w:tgtFrame="_blank" w:history="1">
        <w:r w:rsidR="001C502F" w:rsidRPr="00810AF7">
          <w:rPr>
            <w:rFonts w:ascii="Arial" w:eastAsia="Calibri" w:hAnsi="Arial" w:cs="Arial"/>
            <w:color w:val="0000FF"/>
            <w:sz w:val="20"/>
            <w:szCs w:val="20"/>
            <w:u w:val="single"/>
          </w:rPr>
          <w:t>http://wiki.hl7.org/index.php?title=Category:FHIR_Resource_Proposal</w:t>
        </w:r>
      </w:hyperlink>
    </w:p>
    <w:p w:rsidR="001C502F" w:rsidRPr="00810AF7" w:rsidRDefault="001C502F" w:rsidP="001C502F">
      <w:pPr>
        <w:rPr>
          <w:rFonts w:ascii="Arial" w:eastAsia="Calibri" w:hAnsi="Arial" w:cs="Arial"/>
          <w:sz w:val="20"/>
          <w:szCs w:val="20"/>
        </w:rPr>
      </w:pPr>
    </w:p>
    <w:p w:rsidR="001C502F" w:rsidRPr="00810AF7" w:rsidRDefault="001C502F" w:rsidP="001C502F">
      <w:pPr>
        <w:rPr>
          <w:rFonts w:eastAsia="Calibri" w:cs="Arial"/>
        </w:rPr>
      </w:pPr>
      <w:r w:rsidRPr="00810AF7">
        <w:rPr>
          <w:rFonts w:eastAsia="Calibri" w:cs="Arial"/>
        </w:rPr>
        <w:t>Referral skeleton</w:t>
      </w:r>
    </w:p>
    <w:p w:rsidR="001C502F" w:rsidRPr="00810AF7" w:rsidRDefault="00DA76A7" w:rsidP="001C502F">
      <w:pPr>
        <w:rPr>
          <w:rFonts w:ascii="Arial" w:eastAsia="Calibri" w:hAnsi="Arial" w:cs="Arial"/>
          <w:sz w:val="20"/>
          <w:szCs w:val="20"/>
        </w:rPr>
      </w:pPr>
      <w:hyperlink r:id="rId13" w:tgtFrame="_blank" w:history="1">
        <w:r w:rsidR="001C502F" w:rsidRPr="00810AF7">
          <w:rPr>
            <w:rFonts w:ascii="Arial" w:eastAsia="Calibri" w:hAnsi="Arial" w:cs="Arial"/>
            <w:color w:val="0000FF"/>
            <w:sz w:val="20"/>
            <w:szCs w:val="20"/>
            <w:u w:val="single"/>
          </w:rPr>
          <w:t>http://wiki.hl7.org/index.php?title=Referral_FHIR_Resource_Proposal</w:t>
        </w:r>
      </w:hyperlink>
    </w:p>
    <w:p w:rsidR="001C502F" w:rsidRPr="00A34AC1" w:rsidRDefault="001C502F" w:rsidP="001C502F">
      <w:pPr>
        <w:rPr>
          <w:color w:val="1F497D"/>
        </w:rPr>
      </w:pPr>
    </w:p>
    <w:p w:rsidR="001C502F" w:rsidRPr="00A34AC1" w:rsidRDefault="001C502F" w:rsidP="001C502F">
      <w:pPr>
        <w:rPr>
          <w:color w:val="1F497D"/>
        </w:rPr>
      </w:pPr>
    </w:p>
    <w:p w:rsidR="001C502F" w:rsidRPr="00E27361" w:rsidRDefault="001C502F" w:rsidP="001C502F">
      <w:pPr>
        <w:rPr>
          <w:b/>
          <w:color w:val="1F497D"/>
          <w:u w:val="single"/>
        </w:rPr>
      </w:pPr>
      <w:r w:rsidRPr="00E27361">
        <w:rPr>
          <w:b/>
          <w:color w:val="1F497D"/>
          <w:u w:val="single"/>
        </w:rPr>
        <w:t>Current Clinical FHIR Resources</w:t>
      </w:r>
    </w:p>
    <w:p w:rsidR="001C502F" w:rsidRPr="00A34AC1" w:rsidRDefault="001C502F" w:rsidP="001C502F">
      <w:pPr>
        <w:pStyle w:val="ListParagraph"/>
        <w:numPr>
          <w:ilvl w:val="0"/>
          <w:numId w:val="12"/>
        </w:numPr>
        <w:rPr>
          <w:color w:val="1F497D"/>
        </w:rPr>
      </w:pPr>
      <w:r w:rsidRPr="00A34AC1">
        <w:rPr>
          <w:color w:val="1F497D"/>
        </w:rPr>
        <w:t>Adverse Reaction</w:t>
      </w:r>
    </w:p>
    <w:p w:rsidR="001C502F" w:rsidRPr="00A34AC1" w:rsidRDefault="001C502F" w:rsidP="001C502F">
      <w:pPr>
        <w:pStyle w:val="ListParagraph"/>
        <w:numPr>
          <w:ilvl w:val="0"/>
          <w:numId w:val="12"/>
        </w:numPr>
        <w:rPr>
          <w:color w:val="1F497D"/>
        </w:rPr>
      </w:pPr>
      <w:r w:rsidRPr="00A34AC1">
        <w:rPr>
          <w:color w:val="1F497D"/>
        </w:rPr>
        <w:t>Allergy Intolerance</w:t>
      </w:r>
    </w:p>
    <w:p w:rsidR="001C502F" w:rsidRPr="00A34AC1" w:rsidRDefault="001C502F" w:rsidP="001C502F">
      <w:pPr>
        <w:pStyle w:val="ListParagraph"/>
        <w:numPr>
          <w:ilvl w:val="0"/>
          <w:numId w:val="12"/>
        </w:numPr>
        <w:rPr>
          <w:color w:val="1F497D"/>
        </w:rPr>
      </w:pPr>
      <w:r w:rsidRPr="00A34AC1">
        <w:rPr>
          <w:color w:val="1F497D"/>
        </w:rPr>
        <w:t>Care Plan</w:t>
      </w:r>
    </w:p>
    <w:p w:rsidR="001C502F" w:rsidRPr="00A34AC1" w:rsidRDefault="001C502F" w:rsidP="001C502F">
      <w:pPr>
        <w:pStyle w:val="ListParagraph"/>
        <w:numPr>
          <w:ilvl w:val="0"/>
          <w:numId w:val="12"/>
        </w:numPr>
        <w:rPr>
          <w:color w:val="1F497D"/>
        </w:rPr>
      </w:pPr>
      <w:r w:rsidRPr="00A34AC1">
        <w:rPr>
          <w:color w:val="1F497D"/>
        </w:rPr>
        <w:t>Condition</w:t>
      </w:r>
    </w:p>
    <w:p w:rsidR="001C502F" w:rsidRDefault="001C502F" w:rsidP="001C502F">
      <w:pPr>
        <w:pStyle w:val="ListParagraph"/>
        <w:numPr>
          <w:ilvl w:val="0"/>
          <w:numId w:val="12"/>
        </w:numPr>
        <w:rPr>
          <w:color w:val="1F497D"/>
        </w:rPr>
      </w:pPr>
      <w:r w:rsidRPr="00A34AC1">
        <w:rPr>
          <w:color w:val="1F497D"/>
        </w:rPr>
        <w:t>Family History</w:t>
      </w:r>
    </w:p>
    <w:p w:rsidR="001C502F" w:rsidRPr="00A34AC1" w:rsidRDefault="001C502F" w:rsidP="001C502F">
      <w:pPr>
        <w:pStyle w:val="ListParagraph"/>
        <w:numPr>
          <w:ilvl w:val="0"/>
          <w:numId w:val="12"/>
        </w:numPr>
        <w:rPr>
          <w:color w:val="1F497D"/>
        </w:rPr>
      </w:pPr>
      <w:r w:rsidRPr="00A34AC1">
        <w:rPr>
          <w:color w:val="1F497D"/>
        </w:rPr>
        <w:t>Procedure</w:t>
      </w:r>
    </w:p>
    <w:p w:rsidR="001C502F" w:rsidRDefault="001C502F" w:rsidP="001C502F">
      <w:pPr>
        <w:pStyle w:val="ListParagraph"/>
        <w:numPr>
          <w:ilvl w:val="0"/>
          <w:numId w:val="12"/>
        </w:numPr>
        <w:rPr>
          <w:color w:val="1F497D"/>
        </w:rPr>
      </w:pPr>
      <w:r w:rsidRPr="00A34AC1">
        <w:rPr>
          <w:color w:val="1F497D"/>
        </w:rPr>
        <w:t>Questionnaire</w:t>
      </w:r>
    </w:p>
    <w:p w:rsidR="009B2B81" w:rsidRDefault="009B2B81" w:rsidP="001C502F">
      <w:pPr>
        <w:pStyle w:val="ListParagraph"/>
        <w:numPr>
          <w:ilvl w:val="0"/>
          <w:numId w:val="12"/>
        </w:numPr>
        <w:rPr>
          <w:color w:val="1F497D"/>
        </w:rPr>
      </w:pPr>
      <w:r>
        <w:rPr>
          <w:color w:val="1F497D"/>
        </w:rPr>
        <w:t xml:space="preserve">Referral </w:t>
      </w:r>
      <w:r w:rsidR="00C64144">
        <w:rPr>
          <w:color w:val="1F497D"/>
        </w:rPr>
        <w:t>(NEW)</w:t>
      </w:r>
    </w:p>
    <w:p w:rsidR="00C64144" w:rsidRPr="001C502F" w:rsidRDefault="00C64144" w:rsidP="001C502F">
      <w:pPr>
        <w:pStyle w:val="ListParagraph"/>
        <w:numPr>
          <w:ilvl w:val="0"/>
          <w:numId w:val="12"/>
        </w:numPr>
        <w:rPr>
          <w:color w:val="1F497D"/>
        </w:rPr>
      </w:pPr>
      <w:r>
        <w:rPr>
          <w:color w:val="1F497D"/>
        </w:rPr>
        <w:t>Transfer of care (NEW)</w:t>
      </w:r>
    </w:p>
    <w:p w:rsidR="001C502F" w:rsidRPr="00A34AC1" w:rsidRDefault="001C502F" w:rsidP="001C502F">
      <w:pPr>
        <w:pStyle w:val="ListParagraph"/>
        <w:rPr>
          <w:color w:val="1F497D"/>
        </w:rPr>
      </w:pPr>
    </w:p>
    <w:p w:rsidR="00C513A1" w:rsidRDefault="00C513A1" w:rsidP="00C513A1">
      <w:pPr>
        <w:rPr>
          <w:color w:val="1F497D"/>
        </w:rPr>
      </w:pPr>
    </w:p>
    <w:p w:rsidR="00C513A1" w:rsidRDefault="00C513A1" w:rsidP="00C513A1">
      <w:pPr>
        <w:rPr>
          <w:color w:val="1F497D"/>
        </w:rPr>
      </w:pPr>
    </w:p>
    <w:p w:rsidR="00C513A1" w:rsidRPr="00C513A1" w:rsidRDefault="00C513A1" w:rsidP="00C513A1">
      <w:pPr>
        <w:rPr>
          <w:color w:val="1F497D"/>
        </w:rPr>
      </w:pPr>
    </w:p>
    <w:p w:rsidR="00C513A1" w:rsidRPr="00C513A1" w:rsidRDefault="00C513A1" w:rsidP="00C513A1">
      <w:pPr>
        <w:pStyle w:val="ListParagraph"/>
        <w:rPr>
          <w:color w:val="1F497D"/>
          <w:u w:val="single"/>
        </w:rPr>
      </w:pPr>
    </w:p>
    <w:bookmarkStart w:id="1" w:name="_MON_1456847577"/>
    <w:bookmarkEnd w:id="1"/>
    <w:p w:rsidR="003B1C3E" w:rsidRPr="003B1C3E" w:rsidRDefault="00D67BA7" w:rsidP="00C513A1">
      <w:pPr>
        <w:pStyle w:val="ListParagraph"/>
        <w:rPr>
          <w:color w:val="1F497D"/>
          <w:u w:val="single"/>
        </w:rPr>
      </w:pPr>
      <w:r>
        <w:rPr>
          <w:color w:val="1F497D"/>
        </w:rPr>
        <w:object w:dxaOrig="7025" w:dyaOrig="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15pt;height:10.85pt" o:ole="">
            <v:imagedata r:id="rId14" o:title=""/>
          </v:shape>
          <o:OLEObject Type="Embed" ProgID="Word.Document.12" ShapeID="_x0000_i1025" DrawAspect="Content" ObjectID="_1461683513" r:id="rId15">
            <o:FieldCodes>\s</o:FieldCodes>
          </o:OLEObject>
        </w:object>
      </w:r>
    </w:p>
    <w:p w:rsidR="00CA10FE" w:rsidRDefault="00CA10FE" w:rsidP="00CA10FE">
      <w:pPr>
        <w:rPr>
          <w:color w:val="1F497D"/>
        </w:rPr>
      </w:pPr>
    </w:p>
    <w:p w:rsidR="00CA10FE" w:rsidRPr="00CA10FE" w:rsidRDefault="00CA10FE" w:rsidP="00CA10FE">
      <w:pPr>
        <w:rPr>
          <w:color w:val="1F497D"/>
        </w:rPr>
      </w:pPr>
    </w:p>
    <w:sectPr w:rsidR="00CA10FE" w:rsidRPr="00CA10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A7" w:rsidRDefault="00D67BA7" w:rsidP="00D67BA7">
      <w:r>
        <w:separator/>
      </w:r>
    </w:p>
  </w:endnote>
  <w:endnote w:type="continuationSeparator" w:id="0">
    <w:p w:rsidR="00D67BA7" w:rsidRDefault="00D67BA7"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DA76A7">
          <w:rPr>
            <w:noProof/>
          </w:rPr>
          <w:t>4</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A7" w:rsidRDefault="00D67BA7" w:rsidP="00D67BA7">
      <w:r>
        <w:separator/>
      </w:r>
    </w:p>
  </w:footnote>
  <w:footnote w:type="continuationSeparator" w:id="0">
    <w:p w:rsidR="00D67BA7" w:rsidRDefault="00D67BA7"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4"/>
  </w:num>
  <w:num w:numId="7">
    <w:abstractNumId w:val="2"/>
  </w:num>
  <w:num w:numId="8">
    <w:abstractNumId w:val="1"/>
  </w:num>
  <w:num w:numId="9">
    <w:abstractNumId w:val="11"/>
  </w:num>
  <w:num w:numId="10">
    <w:abstractNumId w:val="15"/>
  </w:num>
  <w:num w:numId="11">
    <w:abstractNumId w:val="7"/>
  </w:num>
  <w:num w:numId="12">
    <w:abstractNumId w:val="8"/>
  </w:num>
  <w:num w:numId="13">
    <w:abstractNumId w:val="19"/>
  </w:num>
  <w:num w:numId="14">
    <w:abstractNumId w:val="16"/>
  </w:num>
  <w:num w:numId="15">
    <w:abstractNumId w:val="9"/>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85BDA"/>
    <w:rsid w:val="000A4CBB"/>
    <w:rsid w:val="000A7FEE"/>
    <w:rsid w:val="000C6BBD"/>
    <w:rsid w:val="000F6BEF"/>
    <w:rsid w:val="001C502F"/>
    <w:rsid w:val="001F028C"/>
    <w:rsid w:val="002B192F"/>
    <w:rsid w:val="003423E7"/>
    <w:rsid w:val="00376891"/>
    <w:rsid w:val="003B1C3E"/>
    <w:rsid w:val="004133EA"/>
    <w:rsid w:val="004C2C2D"/>
    <w:rsid w:val="004D33CC"/>
    <w:rsid w:val="00592C89"/>
    <w:rsid w:val="005C1BF9"/>
    <w:rsid w:val="005F37CE"/>
    <w:rsid w:val="005F5701"/>
    <w:rsid w:val="006839E7"/>
    <w:rsid w:val="00696D6E"/>
    <w:rsid w:val="007633A9"/>
    <w:rsid w:val="00776BA3"/>
    <w:rsid w:val="00795490"/>
    <w:rsid w:val="007A3D68"/>
    <w:rsid w:val="007C3279"/>
    <w:rsid w:val="00810AF7"/>
    <w:rsid w:val="00875425"/>
    <w:rsid w:val="008C3779"/>
    <w:rsid w:val="008E027E"/>
    <w:rsid w:val="00941003"/>
    <w:rsid w:val="009B2B81"/>
    <w:rsid w:val="009B5220"/>
    <w:rsid w:val="009E219E"/>
    <w:rsid w:val="00A1083F"/>
    <w:rsid w:val="00A224A8"/>
    <w:rsid w:val="00A34AC1"/>
    <w:rsid w:val="00A56C04"/>
    <w:rsid w:val="00AA48F4"/>
    <w:rsid w:val="00AA7432"/>
    <w:rsid w:val="00AB555C"/>
    <w:rsid w:val="00AD65BB"/>
    <w:rsid w:val="00AD6999"/>
    <w:rsid w:val="00AE3CDB"/>
    <w:rsid w:val="00AF76CF"/>
    <w:rsid w:val="00B706A5"/>
    <w:rsid w:val="00BA3680"/>
    <w:rsid w:val="00C04DD9"/>
    <w:rsid w:val="00C419DF"/>
    <w:rsid w:val="00C44129"/>
    <w:rsid w:val="00C513A1"/>
    <w:rsid w:val="00C64144"/>
    <w:rsid w:val="00C80796"/>
    <w:rsid w:val="00C813E8"/>
    <w:rsid w:val="00C81578"/>
    <w:rsid w:val="00CA10FE"/>
    <w:rsid w:val="00CF6230"/>
    <w:rsid w:val="00D24FD4"/>
    <w:rsid w:val="00D61649"/>
    <w:rsid w:val="00D67BA7"/>
    <w:rsid w:val="00D76985"/>
    <w:rsid w:val="00DA76A7"/>
    <w:rsid w:val="00E27361"/>
    <w:rsid w:val="00E30F44"/>
    <w:rsid w:val="00E404C8"/>
    <w:rsid w:val="00E84429"/>
    <w:rsid w:val="00E92CEE"/>
    <w:rsid w:val="00ED2B6F"/>
    <w:rsid w:val="00F32133"/>
    <w:rsid w:val="00FB2E4D"/>
    <w:rsid w:val="00FB44EF"/>
    <w:rsid w:val="00FD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C1"/>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C1"/>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l7.org/index.php?title=Referral_FHIR_Resource_Propos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hl7.org/index.php?title=Category:FHIR_Resource_Propos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forge.hl7.org/gf/project/fhir/tracker/?action=TrackerItemBrowse&amp;tracker_id=677"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http://www.hl7.org/implement/standards/FHIR-Develop/?ref=learnmore" TargetMode="External"/><Relationship Id="rId4" Type="http://schemas.microsoft.com/office/2007/relationships/stylesWithEffects" Target="stylesWithEffects.xml"/><Relationship Id="rId9" Type="http://schemas.openxmlformats.org/officeDocument/2006/relationships/hyperlink" Target="http://wiki.hl7.org/index.php?title=Referral_FHIR_Resource_Proposa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7F91-EBC9-40C8-ADD5-3CB718D2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2014-05-15T20:59:00Z</dcterms:created>
  <dcterms:modified xsi:type="dcterms:W3CDTF">2014-05-15T22:25:00Z</dcterms:modified>
</cp:coreProperties>
</file>