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18" w:rsidRDefault="00D53C31">
      <w:pPr>
        <w:rPr>
          <w:rFonts w:ascii="Arial" w:hAnsi="Arial" w:cs="Arial"/>
        </w:rPr>
      </w:pPr>
      <w:r>
        <w:rPr>
          <w:rFonts w:ascii="Arial" w:hAnsi="Arial" w:cs="Arial"/>
        </w:rPr>
        <w:t>HL7 EHR WG – “EHR as Legal Record” Project</w:t>
      </w:r>
    </w:p>
    <w:p w:rsidR="00D53C31" w:rsidRDefault="006D35FA">
      <w:pPr>
        <w:rPr>
          <w:rFonts w:ascii="Arial" w:hAnsi="Arial" w:cs="Arial"/>
        </w:rPr>
      </w:pPr>
      <w:r>
        <w:rPr>
          <w:rFonts w:ascii="Arial" w:hAnsi="Arial" w:cs="Arial"/>
        </w:rPr>
        <w:t xml:space="preserve">DRAFT </w:t>
      </w:r>
      <w:r w:rsidR="00D53C31">
        <w:rPr>
          <w:rFonts w:ascii="Arial" w:hAnsi="Arial" w:cs="Arial"/>
        </w:rPr>
        <w:t>Benefits and Savings</w:t>
      </w:r>
      <w:r>
        <w:rPr>
          <w:rFonts w:ascii="Arial" w:hAnsi="Arial" w:cs="Arial"/>
        </w:rPr>
        <w:t xml:space="preserve"> –</w:t>
      </w:r>
      <w:r w:rsidR="00D4614D">
        <w:rPr>
          <w:rFonts w:ascii="Arial" w:hAnsi="Arial" w:cs="Arial"/>
        </w:rPr>
        <w:t xml:space="preserve"> </w:t>
      </w:r>
      <w:r w:rsidR="00FB4E51">
        <w:rPr>
          <w:rFonts w:ascii="Arial" w:hAnsi="Arial" w:cs="Arial"/>
        </w:rPr>
        <w:t>22</w:t>
      </w:r>
      <w:r>
        <w:rPr>
          <w:rFonts w:ascii="Arial" w:hAnsi="Arial" w:cs="Arial"/>
        </w:rPr>
        <w:t xml:space="preserve"> April 2016</w:t>
      </w:r>
    </w:p>
    <w:p w:rsidR="00D53C31" w:rsidRDefault="00D53C31">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4968"/>
        <w:gridCol w:w="4050"/>
        <w:gridCol w:w="4158"/>
      </w:tblGrid>
      <w:tr w:rsidR="009D4BCF" w:rsidTr="009D4BCF">
        <w:tc>
          <w:tcPr>
            <w:tcW w:w="4968" w:type="dxa"/>
            <w:tcBorders>
              <w:top w:val="single" w:sz="12" w:space="0" w:color="auto"/>
              <w:bottom w:val="single" w:sz="12" w:space="0" w:color="auto"/>
            </w:tcBorders>
            <w:vAlign w:val="center"/>
          </w:tcPr>
          <w:p w:rsidR="00D964A9" w:rsidRDefault="00D964A9" w:rsidP="0068645B">
            <w:pPr>
              <w:rPr>
                <w:rFonts w:ascii="Arial" w:hAnsi="Arial" w:cs="Arial"/>
              </w:rPr>
            </w:pPr>
            <w:r>
              <w:rPr>
                <w:rFonts w:ascii="Arial" w:hAnsi="Arial" w:cs="Arial"/>
              </w:rPr>
              <w:t>Benefit</w:t>
            </w:r>
          </w:p>
        </w:tc>
        <w:tc>
          <w:tcPr>
            <w:tcW w:w="4050" w:type="dxa"/>
            <w:tcBorders>
              <w:top w:val="single" w:sz="12" w:space="0" w:color="auto"/>
              <w:bottom w:val="single" w:sz="12" w:space="0" w:color="auto"/>
            </w:tcBorders>
            <w:vAlign w:val="center"/>
          </w:tcPr>
          <w:p w:rsidR="00D964A9" w:rsidRDefault="00D964A9" w:rsidP="0068645B">
            <w:pPr>
              <w:rPr>
                <w:rFonts w:ascii="Arial" w:hAnsi="Arial" w:cs="Arial"/>
              </w:rPr>
            </w:pPr>
            <w:r>
              <w:rPr>
                <w:rFonts w:ascii="Arial" w:hAnsi="Arial" w:cs="Arial"/>
              </w:rPr>
              <w:t>Savings (to Whom)</w:t>
            </w:r>
          </w:p>
        </w:tc>
        <w:tc>
          <w:tcPr>
            <w:tcW w:w="4158" w:type="dxa"/>
            <w:tcBorders>
              <w:top w:val="single" w:sz="12" w:space="0" w:color="auto"/>
              <w:bottom w:val="single" w:sz="12" w:space="0" w:color="auto"/>
            </w:tcBorders>
            <w:vAlign w:val="center"/>
          </w:tcPr>
          <w:p w:rsidR="00D964A9" w:rsidRDefault="00D964A9" w:rsidP="0068645B">
            <w:pPr>
              <w:rPr>
                <w:rFonts w:ascii="Arial" w:hAnsi="Arial" w:cs="Arial"/>
              </w:rPr>
            </w:pPr>
            <w:r>
              <w:rPr>
                <w:rFonts w:ascii="Arial" w:hAnsi="Arial" w:cs="Arial"/>
              </w:rPr>
              <w:t>Reference</w:t>
            </w:r>
            <w:r w:rsidR="00E737D6">
              <w:rPr>
                <w:rFonts w:ascii="Arial" w:hAnsi="Arial" w:cs="Arial"/>
              </w:rPr>
              <w:t>(s)</w:t>
            </w:r>
          </w:p>
        </w:tc>
      </w:tr>
      <w:tr w:rsidR="00366D6F" w:rsidRPr="00F247E3" w:rsidTr="009D4BCF">
        <w:tc>
          <w:tcPr>
            <w:tcW w:w="13176" w:type="dxa"/>
            <w:gridSpan w:val="3"/>
            <w:tcBorders>
              <w:top w:val="single" w:sz="12" w:space="0" w:color="auto"/>
              <w:bottom w:val="single" w:sz="12" w:space="0" w:color="auto"/>
            </w:tcBorders>
            <w:shd w:val="clear" w:color="auto" w:fill="C6D9F1" w:themeFill="text2" w:themeFillTint="33"/>
            <w:vAlign w:val="center"/>
          </w:tcPr>
          <w:p w:rsidR="00366D6F" w:rsidRPr="00F247E3" w:rsidRDefault="00366D6F" w:rsidP="0068645B">
            <w:pPr>
              <w:rPr>
                <w:rFonts w:ascii="Arial" w:hAnsi="Arial" w:cs="Arial"/>
                <w:sz w:val="20"/>
                <w:szCs w:val="20"/>
              </w:rPr>
            </w:pPr>
            <w:bookmarkStart w:id="0" w:name="OLE_LINK11"/>
            <w:bookmarkStart w:id="1" w:name="OLE_LINK12"/>
            <w:r w:rsidRPr="00F247E3">
              <w:rPr>
                <w:rFonts w:ascii="Arial" w:hAnsi="Arial" w:cs="Arial"/>
                <w:sz w:val="20"/>
                <w:szCs w:val="20"/>
              </w:rPr>
              <w:t>Regarding this Project...</w:t>
            </w:r>
          </w:p>
        </w:tc>
      </w:tr>
      <w:bookmarkEnd w:id="0"/>
      <w:bookmarkEnd w:id="1"/>
      <w:tr w:rsidR="009D4BCF" w:rsidRPr="00F247E3" w:rsidTr="009D4BCF">
        <w:tc>
          <w:tcPr>
            <w:tcW w:w="4968" w:type="dxa"/>
            <w:tcBorders>
              <w:top w:val="single" w:sz="12" w:space="0" w:color="auto"/>
            </w:tcBorders>
            <w:vAlign w:val="center"/>
          </w:tcPr>
          <w:p w:rsidR="00670668" w:rsidRPr="00670668" w:rsidRDefault="00D964A9" w:rsidP="00670668">
            <w:pPr>
              <w:rPr>
                <w:rFonts w:ascii="Arial" w:hAnsi="Arial" w:cs="Arial"/>
                <w:sz w:val="20"/>
                <w:szCs w:val="20"/>
              </w:rPr>
            </w:pPr>
            <w:r w:rsidRPr="00F247E3">
              <w:rPr>
                <w:rFonts w:ascii="Arial" w:hAnsi="Arial" w:cs="Arial"/>
                <w:sz w:val="20"/>
                <w:szCs w:val="20"/>
              </w:rPr>
              <w:t>Patient Safety</w:t>
            </w:r>
            <w:r w:rsidR="009D4BCF">
              <w:rPr>
                <w:rFonts w:ascii="Arial" w:hAnsi="Arial" w:cs="Arial"/>
                <w:sz w:val="20"/>
                <w:szCs w:val="20"/>
              </w:rPr>
              <w:t xml:space="preserve"> – </w:t>
            </w:r>
            <w:r w:rsidR="00670668" w:rsidRPr="00670668">
              <w:rPr>
                <w:rFonts w:ascii="Arial" w:hAnsi="Arial" w:cs="Arial"/>
                <w:sz w:val="20"/>
                <w:szCs w:val="20"/>
              </w:rPr>
              <w:t>Preventing Data Integrity Failures</w:t>
            </w:r>
            <w:r w:rsidR="00670668">
              <w:rPr>
                <w:rFonts w:ascii="Arial" w:hAnsi="Arial" w:cs="Arial"/>
                <w:sz w:val="20"/>
                <w:szCs w:val="20"/>
              </w:rPr>
              <w:t xml:space="preserve"> [ECRI recommendations]</w:t>
            </w:r>
          </w:p>
          <w:p w:rsidR="00670668" w:rsidRPr="00670668" w:rsidRDefault="00670668" w:rsidP="00670668">
            <w:pPr>
              <w:rPr>
                <w:rFonts w:ascii="Arial" w:hAnsi="Arial" w:cs="Arial"/>
                <w:sz w:val="20"/>
                <w:szCs w:val="20"/>
              </w:rPr>
            </w:pPr>
            <w:r w:rsidRPr="00670668">
              <w:rPr>
                <w:rFonts w:ascii="Arial" w:hAnsi="Arial" w:cs="Arial"/>
                <w:sz w:val="20"/>
                <w:szCs w:val="20"/>
              </w:rPr>
              <w:t>• Use a computer-user interface that is visible, readable, understandable, and consistent.</w:t>
            </w:r>
          </w:p>
          <w:p w:rsidR="00670668" w:rsidRPr="00670668" w:rsidRDefault="00670668" w:rsidP="00670668">
            <w:pPr>
              <w:rPr>
                <w:rFonts w:ascii="Arial" w:hAnsi="Arial" w:cs="Arial"/>
                <w:sz w:val="20"/>
                <w:szCs w:val="20"/>
              </w:rPr>
            </w:pPr>
            <w:r w:rsidRPr="00670668">
              <w:rPr>
                <w:rFonts w:ascii="Arial" w:hAnsi="Arial" w:cs="Arial"/>
                <w:sz w:val="20"/>
                <w:szCs w:val="20"/>
              </w:rPr>
              <w:t>• Clearly display all patient information on all computer screens.</w:t>
            </w:r>
          </w:p>
          <w:p w:rsidR="00670668" w:rsidRPr="00670668" w:rsidRDefault="00670668" w:rsidP="00670668">
            <w:pPr>
              <w:rPr>
                <w:rFonts w:ascii="Arial" w:hAnsi="Arial" w:cs="Arial"/>
                <w:sz w:val="20"/>
                <w:szCs w:val="20"/>
              </w:rPr>
            </w:pPr>
            <w:r w:rsidRPr="00670668">
              <w:rPr>
                <w:rFonts w:ascii="Arial" w:hAnsi="Arial" w:cs="Arial"/>
                <w:sz w:val="20"/>
                <w:szCs w:val="20"/>
              </w:rPr>
              <w:t>• Limit the number of patient records displayed on a screen at one time.</w:t>
            </w:r>
          </w:p>
          <w:p w:rsidR="00670668" w:rsidRPr="00670668" w:rsidRDefault="00670668" w:rsidP="00670668">
            <w:pPr>
              <w:rPr>
                <w:rFonts w:ascii="Arial" w:hAnsi="Arial" w:cs="Arial"/>
                <w:sz w:val="20"/>
                <w:szCs w:val="20"/>
              </w:rPr>
            </w:pPr>
            <w:r w:rsidRPr="00670668">
              <w:rPr>
                <w:rFonts w:ascii="Arial" w:hAnsi="Arial" w:cs="Arial"/>
                <w:sz w:val="20"/>
                <w:szCs w:val="20"/>
              </w:rPr>
              <w:t>• Require</w:t>
            </w:r>
            <w:r>
              <w:rPr>
                <w:rFonts w:ascii="Arial" w:hAnsi="Arial" w:cs="Arial"/>
                <w:sz w:val="20"/>
                <w:szCs w:val="20"/>
              </w:rPr>
              <w:t xml:space="preserve"> a patient identifi</w:t>
            </w:r>
            <w:r w:rsidRPr="00670668">
              <w:rPr>
                <w:rFonts w:ascii="Arial" w:hAnsi="Arial" w:cs="Arial"/>
                <w:sz w:val="20"/>
                <w:szCs w:val="20"/>
              </w:rPr>
              <w:t>cation check at various points in the care process.</w:t>
            </w:r>
          </w:p>
          <w:p w:rsidR="00670668" w:rsidRPr="00670668" w:rsidRDefault="00670668" w:rsidP="00670668">
            <w:pPr>
              <w:rPr>
                <w:rFonts w:ascii="Arial" w:hAnsi="Arial" w:cs="Arial"/>
                <w:sz w:val="20"/>
                <w:szCs w:val="20"/>
              </w:rPr>
            </w:pPr>
            <w:r w:rsidRPr="00670668">
              <w:rPr>
                <w:rFonts w:ascii="Arial" w:hAnsi="Arial" w:cs="Arial"/>
                <w:sz w:val="20"/>
                <w:szCs w:val="20"/>
              </w:rPr>
              <w:t>• Provide evidence-based order sets for common tasks and conditions.</w:t>
            </w:r>
          </w:p>
          <w:p w:rsidR="00670668" w:rsidRPr="00670668" w:rsidRDefault="00670668" w:rsidP="00670668">
            <w:pPr>
              <w:rPr>
                <w:rFonts w:ascii="Arial" w:hAnsi="Arial" w:cs="Arial"/>
                <w:sz w:val="20"/>
                <w:szCs w:val="20"/>
              </w:rPr>
            </w:pPr>
            <w:r w:rsidRPr="00670668">
              <w:rPr>
                <w:rFonts w:ascii="Arial" w:hAnsi="Arial" w:cs="Arial"/>
                <w:sz w:val="20"/>
                <w:szCs w:val="20"/>
              </w:rPr>
              <w:t>• Minimize free-text entry of orders.</w:t>
            </w:r>
          </w:p>
          <w:p w:rsidR="00670668" w:rsidRPr="00670668" w:rsidRDefault="00670668" w:rsidP="00670668">
            <w:pPr>
              <w:rPr>
                <w:rFonts w:ascii="Arial" w:hAnsi="Arial" w:cs="Arial"/>
                <w:sz w:val="20"/>
                <w:szCs w:val="20"/>
              </w:rPr>
            </w:pPr>
            <w:r w:rsidRPr="00670668">
              <w:rPr>
                <w:rFonts w:ascii="Arial" w:hAnsi="Arial" w:cs="Arial"/>
                <w:sz w:val="20"/>
                <w:szCs w:val="20"/>
              </w:rPr>
              <w:t>• Minimize interruptions from alerts to high-risk, high-priority conditions.</w:t>
            </w:r>
          </w:p>
          <w:p w:rsidR="00670668" w:rsidRPr="00670668" w:rsidRDefault="00670668" w:rsidP="00670668">
            <w:pPr>
              <w:rPr>
                <w:rFonts w:ascii="Arial" w:hAnsi="Arial" w:cs="Arial"/>
                <w:sz w:val="20"/>
                <w:szCs w:val="20"/>
              </w:rPr>
            </w:pPr>
            <w:r w:rsidRPr="00670668">
              <w:rPr>
                <w:rFonts w:ascii="Arial" w:hAnsi="Arial" w:cs="Arial"/>
                <w:sz w:val="20"/>
                <w:szCs w:val="20"/>
              </w:rPr>
              <w:t>• Fully test a health IT system, including any upgrades and system improvements.</w:t>
            </w:r>
          </w:p>
          <w:p w:rsidR="00670668" w:rsidRPr="00670668" w:rsidRDefault="00670668" w:rsidP="00670668">
            <w:pPr>
              <w:rPr>
                <w:rFonts w:ascii="Arial" w:hAnsi="Arial" w:cs="Arial"/>
                <w:sz w:val="20"/>
                <w:szCs w:val="20"/>
              </w:rPr>
            </w:pPr>
            <w:r w:rsidRPr="00670668">
              <w:rPr>
                <w:rFonts w:ascii="Arial" w:hAnsi="Arial" w:cs="Arial"/>
                <w:sz w:val="20"/>
                <w:szCs w:val="20"/>
              </w:rPr>
              <w:t>• Provide comprehensive training to health IT system users.</w:t>
            </w:r>
          </w:p>
          <w:p w:rsidR="009A159B" w:rsidRPr="00F247E3" w:rsidRDefault="00670668" w:rsidP="00670668">
            <w:pPr>
              <w:rPr>
                <w:rFonts w:ascii="Arial" w:hAnsi="Arial" w:cs="Arial"/>
                <w:sz w:val="20"/>
                <w:szCs w:val="20"/>
              </w:rPr>
            </w:pPr>
            <w:r w:rsidRPr="00670668">
              <w:rPr>
                <w:rFonts w:ascii="Arial" w:hAnsi="Arial" w:cs="Arial"/>
                <w:sz w:val="20"/>
                <w:szCs w:val="20"/>
              </w:rPr>
              <w:t>• Support event reporting and other methods to identify and address health IT problems.</w:t>
            </w:r>
          </w:p>
        </w:tc>
        <w:tc>
          <w:tcPr>
            <w:tcW w:w="4050" w:type="dxa"/>
            <w:tcBorders>
              <w:top w:val="single" w:sz="12" w:space="0" w:color="auto"/>
            </w:tcBorders>
            <w:vAlign w:val="center"/>
          </w:tcPr>
          <w:p w:rsidR="00A40191" w:rsidRPr="00113F6E" w:rsidRDefault="00A40191" w:rsidP="00A40191">
            <w:pPr>
              <w:pStyle w:val="ListParagraph"/>
              <w:numPr>
                <w:ilvl w:val="0"/>
                <w:numId w:val="5"/>
              </w:numPr>
              <w:ind w:left="162" w:hanging="162"/>
              <w:rPr>
                <w:rFonts w:ascii="Arial" w:hAnsi="Arial" w:cs="Arial"/>
                <w:sz w:val="20"/>
                <w:szCs w:val="20"/>
              </w:rPr>
            </w:pPr>
            <w:r w:rsidRPr="00113F6E">
              <w:rPr>
                <w:rFonts w:ascii="Arial" w:hAnsi="Arial" w:cs="Arial"/>
                <w:sz w:val="20"/>
                <w:szCs w:val="20"/>
              </w:rPr>
              <w:t>Savings from avoidance of unsafe conditions and practices</w:t>
            </w:r>
          </w:p>
          <w:p w:rsidR="00A40191" w:rsidRDefault="00A40191" w:rsidP="00113F6E">
            <w:pPr>
              <w:pStyle w:val="ListParagraph"/>
              <w:numPr>
                <w:ilvl w:val="0"/>
                <w:numId w:val="5"/>
              </w:numPr>
              <w:ind w:left="162" w:hanging="162"/>
              <w:rPr>
                <w:rFonts w:ascii="Arial" w:hAnsi="Arial" w:cs="Arial"/>
                <w:sz w:val="20"/>
                <w:szCs w:val="20"/>
              </w:rPr>
            </w:pPr>
            <w:r>
              <w:rPr>
                <w:rFonts w:ascii="Arial" w:hAnsi="Arial" w:cs="Arial"/>
                <w:sz w:val="20"/>
                <w:szCs w:val="20"/>
              </w:rPr>
              <w:t xml:space="preserve">Savings by promoting clarity and consistency in computer-user experience </w:t>
            </w:r>
          </w:p>
          <w:p w:rsidR="00E0249A" w:rsidRDefault="00E0249A" w:rsidP="00113F6E">
            <w:pPr>
              <w:pStyle w:val="ListParagraph"/>
              <w:numPr>
                <w:ilvl w:val="0"/>
                <w:numId w:val="5"/>
              </w:numPr>
              <w:ind w:left="162" w:hanging="162"/>
              <w:rPr>
                <w:rFonts w:ascii="Arial" w:hAnsi="Arial" w:cs="Arial"/>
                <w:sz w:val="20"/>
                <w:szCs w:val="20"/>
              </w:rPr>
            </w:pPr>
            <w:r>
              <w:rPr>
                <w:rFonts w:ascii="Arial" w:hAnsi="Arial" w:cs="Arial"/>
                <w:sz w:val="20"/>
                <w:szCs w:val="20"/>
              </w:rPr>
              <w:t xml:space="preserve">Savings from </w:t>
            </w:r>
            <w:r w:rsidR="00A40191">
              <w:rPr>
                <w:rFonts w:ascii="Arial" w:hAnsi="Arial" w:cs="Arial"/>
                <w:sz w:val="20"/>
                <w:szCs w:val="20"/>
              </w:rPr>
              <w:t>avoidance of identity errors</w:t>
            </w:r>
          </w:p>
          <w:p w:rsidR="0035071C" w:rsidRPr="00113F6E" w:rsidRDefault="0035071C" w:rsidP="00113F6E">
            <w:pPr>
              <w:pStyle w:val="ListParagraph"/>
              <w:numPr>
                <w:ilvl w:val="0"/>
                <w:numId w:val="5"/>
              </w:numPr>
              <w:ind w:left="162" w:hanging="162"/>
              <w:rPr>
                <w:rFonts w:ascii="Arial" w:hAnsi="Arial" w:cs="Arial"/>
                <w:sz w:val="20"/>
                <w:szCs w:val="20"/>
              </w:rPr>
            </w:pPr>
            <w:r w:rsidRPr="00113F6E">
              <w:rPr>
                <w:rFonts w:ascii="Arial" w:hAnsi="Arial" w:cs="Arial"/>
                <w:sz w:val="20"/>
                <w:szCs w:val="20"/>
              </w:rPr>
              <w:t>Savings from fully tested systems and thus avoidance of errors, downtime and other adverse incidents</w:t>
            </w:r>
          </w:p>
          <w:p w:rsidR="0035071C" w:rsidRPr="00113F6E" w:rsidRDefault="0035071C" w:rsidP="00113F6E">
            <w:pPr>
              <w:pStyle w:val="ListParagraph"/>
              <w:numPr>
                <w:ilvl w:val="0"/>
                <w:numId w:val="5"/>
              </w:numPr>
              <w:ind w:left="162" w:hanging="162"/>
              <w:rPr>
                <w:rFonts w:ascii="Arial" w:hAnsi="Arial" w:cs="Arial"/>
                <w:sz w:val="20"/>
                <w:szCs w:val="20"/>
              </w:rPr>
            </w:pPr>
            <w:r w:rsidRPr="00113F6E">
              <w:rPr>
                <w:rFonts w:ascii="Arial" w:hAnsi="Arial" w:cs="Arial"/>
                <w:sz w:val="20"/>
                <w:szCs w:val="20"/>
              </w:rPr>
              <w:t>Savings from knowledge transfer (training) and bett</w:t>
            </w:r>
            <w:r w:rsidR="00113F6E">
              <w:rPr>
                <w:rFonts w:ascii="Arial" w:hAnsi="Arial" w:cs="Arial"/>
                <w:sz w:val="20"/>
                <w:szCs w:val="20"/>
              </w:rPr>
              <w:t>er practice resulting therefrom</w:t>
            </w:r>
          </w:p>
          <w:p w:rsidR="0035071C" w:rsidRPr="00113F6E" w:rsidRDefault="0035071C" w:rsidP="00113F6E">
            <w:pPr>
              <w:pStyle w:val="ListParagraph"/>
              <w:numPr>
                <w:ilvl w:val="0"/>
                <w:numId w:val="5"/>
              </w:numPr>
              <w:ind w:left="162" w:hanging="162"/>
              <w:rPr>
                <w:rFonts w:ascii="Arial" w:hAnsi="Arial" w:cs="Arial"/>
                <w:sz w:val="20"/>
                <w:szCs w:val="20"/>
              </w:rPr>
            </w:pPr>
            <w:r w:rsidRPr="00113F6E">
              <w:rPr>
                <w:rFonts w:ascii="Arial" w:hAnsi="Arial" w:cs="Arial"/>
                <w:sz w:val="20"/>
                <w:szCs w:val="20"/>
              </w:rPr>
              <w:t xml:space="preserve">Savings from </w:t>
            </w:r>
            <w:r w:rsidR="00D07CDA">
              <w:rPr>
                <w:rFonts w:ascii="Arial" w:hAnsi="Arial" w:cs="Arial"/>
                <w:sz w:val="20"/>
                <w:szCs w:val="20"/>
              </w:rPr>
              <w:t xml:space="preserve">prevention, based on </w:t>
            </w:r>
            <w:r w:rsidRPr="00113F6E">
              <w:rPr>
                <w:rFonts w:ascii="Arial" w:hAnsi="Arial" w:cs="Arial"/>
                <w:sz w:val="20"/>
                <w:szCs w:val="20"/>
              </w:rPr>
              <w:t>event reporting and corrective responses to identified errors, omiss</w:t>
            </w:r>
            <w:r w:rsidR="00113F6E">
              <w:rPr>
                <w:rFonts w:ascii="Arial" w:hAnsi="Arial" w:cs="Arial"/>
                <w:sz w:val="20"/>
                <w:szCs w:val="20"/>
              </w:rPr>
              <w:t>ions or anomalies</w:t>
            </w:r>
          </w:p>
          <w:p w:rsidR="005F08CF" w:rsidRPr="00113F6E" w:rsidRDefault="004F76C0" w:rsidP="00113F6E">
            <w:pPr>
              <w:pStyle w:val="ListParagraph"/>
              <w:numPr>
                <w:ilvl w:val="0"/>
                <w:numId w:val="5"/>
              </w:numPr>
              <w:ind w:left="162" w:hanging="162"/>
              <w:rPr>
                <w:rFonts w:ascii="Arial" w:hAnsi="Arial" w:cs="Arial"/>
                <w:sz w:val="20"/>
                <w:szCs w:val="20"/>
              </w:rPr>
            </w:pPr>
            <w:r w:rsidRPr="00113F6E">
              <w:rPr>
                <w:rFonts w:ascii="Arial" w:hAnsi="Arial" w:cs="Arial"/>
                <w:sz w:val="20"/>
                <w:szCs w:val="20"/>
              </w:rPr>
              <w:t>Accruing</w:t>
            </w:r>
            <w:r w:rsidR="0035071C" w:rsidRPr="00113F6E">
              <w:rPr>
                <w:rFonts w:ascii="Arial" w:hAnsi="Arial" w:cs="Arial"/>
                <w:sz w:val="20"/>
                <w:szCs w:val="20"/>
              </w:rPr>
              <w:t xml:space="preserve"> to:  p</w:t>
            </w:r>
            <w:r w:rsidR="005F08CF" w:rsidRPr="00113F6E">
              <w:rPr>
                <w:rFonts w:ascii="Arial" w:hAnsi="Arial" w:cs="Arial"/>
                <w:sz w:val="20"/>
                <w:szCs w:val="20"/>
              </w:rPr>
              <w:t>atients</w:t>
            </w:r>
            <w:r w:rsidR="0035071C" w:rsidRPr="00113F6E">
              <w:rPr>
                <w:rFonts w:ascii="Arial" w:hAnsi="Arial" w:cs="Arial"/>
                <w:sz w:val="20"/>
                <w:szCs w:val="20"/>
              </w:rPr>
              <w:t>, providers, payers</w:t>
            </w:r>
            <w:r w:rsidRPr="00113F6E">
              <w:rPr>
                <w:rFonts w:ascii="Arial" w:hAnsi="Arial" w:cs="Arial"/>
                <w:sz w:val="20"/>
                <w:szCs w:val="20"/>
              </w:rPr>
              <w:t>, vendors, employers</w:t>
            </w:r>
          </w:p>
        </w:tc>
        <w:bookmarkStart w:id="2" w:name="OLE_LINK7"/>
        <w:bookmarkStart w:id="3" w:name="OLE_LINK8"/>
        <w:tc>
          <w:tcPr>
            <w:tcW w:w="4158" w:type="dxa"/>
            <w:tcBorders>
              <w:top w:val="single" w:sz="12" w:space="0" w:color="auto"/>
            </w:tcBorders>
            <w:vAlign w:val="center"/>
          </w:tcPr>
          <w:p w:rsidR="00670668" w:rsidRDefault="002F5BE7" w:rsidP="0068645B">
            <w:pPr>
              <w:rPr>
                <w:rFonts w:ascii="Arial" w:hAnsi="Arial" w:cs="Arial"/>
                <w:sz w:val="20"/>
                <w:szCs w:val="20"/>
              </w:rPr>
            </w:pPr>
            <w:r>
              <w:rPr>
                <w:rFonts w:ascii="Arial" w:hAnsi="Arial" w:cs="Arial"/>
                <w:sz w:val="20"/>
                <w:szCs w:val="20"/>
              </w:rPr>
              <w:fldChar w:fldCharType="begin"/>
            </w:r>
            <w:r w:rsidR="00D524F0">
              <w:rPr>
                <w:rFonts w:ascii="Arial" w:hAnsi="Arial" w:cs="Arial"/>
                <w:sz w:val="20"/>
                <w:szCs w:val="20"/>
              </w:rPr>
              <w:instrText>HYPERLINK "https://www.ecri.org/patientsafetytop10"</w:instrText>
            </w:r>
            <w:r>
              <w:rPr>
                <w:rFonts w:ascii="Arial" w:hAnsi="Arial" w:cs="Arial"/>
                <w:sz w:val="20"/>
                <w:szCs w:val="20"/>
              </w:rPr>
              <w:fldChar w:fldCharType="separate"/>
            </w:r>
            <w:r w:rsidR="00670668" w:rsidRPr="00670668">
              <w:rPr>
                <w:rStyle w:val="Hyperlink"/>
                <w:rFonts w:ascii="Arial" w:hAnsi="Arial" w:cs="Arial"/>
                <w:sz w:val="20"/>
                <w:szCs w:val="20"/>
              </w:rPr>
              <w:t>ECRI Patient Safety Top 10</w:t>
            </w:r>
            <w:r>
              <w:rPr>
                <w:rFonts w:ascii="Arial" w:hAnsi="Arial" w:cs="Arial"/>
                <w:sz w:val="20"/>
                <w:szCs w:val="20"/>
              </w:rPr>
              <w:fldChar w:fldCharType="end"/>
            </w:r>
            <w:bookmarkEnd w:id="2"/>
            <w:bookmarkEnd w:id="3"/>
          </w:p>
          <w:p w:rsidR="00670668" w:rsidRDefault="00670668" w:rsidP="0068645B">
            <w:pPr>
              <w:rPr>
                <w:rFonts w:ascii="Arial" w:hAnsi="Arial" w:cs="Arial"/>
                <w:sz w:val="20"/>
                <w:szCs w:val="20"/>
              </w:rPr>
            </w:pPr>
          </w:p>
          <w:p w:rsidR="00D964A9" w:rsidRPr="00F247E3" w:rsidRDefault="002F5BE7" w:rsidP="0068645B">
            <w:pPr>
              <w:rPr>
                <w:rFonts w:ascii="Arial" w:hAnsi="Arial" w:cs="Arial"/>
                <w:sz w:val="20"/>
                <w:szCs w:val="20"/>
              </w:rPr>
            </w:pPr>
            <w:hyperlink r:id="rId5" w:history="1">
              <w:r w:rsidR="00670668">
                <w:rPr>
                  <w:rStyle w:val="Hyperlink"/>
                  <w:rFonts w:ascii="Arial" w:hAnsi="Arial" w:cs="Arial"/>
                  <w:sz w:val="20"/>
                  <w:szCs w:val="20"/>
                </w:rPr>
                <w:t>ECRI Study - Data Errors in Health IT</w:t>
              </w:r>
            </w:hyperlink>
          </w:p>
        </w:tc>
      </w:tr>
      <w:tr w:rsidR="009D4BCF" w:rsidRPr="00F247E3" w:rsidTr="009D4BCF">
        <w:tc>
          <w:tcPr>
            <w:tcW w:w="4968" w:type="dxa"/>
            <w:vAlign w:val="center"/>
          </w:tcPr>
          <w:p w:rsidR="00F247E3" w:rsidRDefault="00D964A9" w:rsidP="0068645B">
            <w:pPr>
              <w:rPr>
                <w:rFonts w:ascii="Arial" w:hAnsi="Arial" w:cs="Arial"/>
                <w:sz w:val="20"/>
                <w:szCs w:val="20"/>
              </w:rPr>
            </w:pPr>
            <w:r w:rsidRPr="00F247E3">
              <w:rPr>
                <w:rFonts w:ascii="Arial" w:hAnsi="Arial" w:cs="Arial"/>
                <w:sz w:val="20"/>
                <w:szCs w:val="20"/>
              </w:rPr>
              <w:t xml:space="preserve">Healthcare Fraud </w:t>
            </w:r>
            <w:r w:rsidR="00F247E3">
              <w:rPr>
                <w:rFonts w:ascii="Arial" w:hAnsi="Arial" w:cs="Arial"/>
                <w:sz w:val="20"/>
                <w:szCs w:val="20"/>
              </w:rPr>
              <w:t>and Abuse Control Act (HCFAC)</w:t>
            </w:r>
          </w:p>
          <w:p w:rsidR="00D964A9" w:rsidRPr="00F247E3" w:rsidRDefault="00D964A9" w:rsidP="0068645B">
            <w:pPr>
              <w:rPr>
                <w:rFonts w:ascii="Arial" w:hAnsi="Arial" w:cs="Arial"/>
                <w:sz w:val="20"/>
                <w:szCs w:val="20"/>
              </w:rPr>
            </w:pPr>
            <w:r w:rsidRPr="00F247E3">
              <w:rPr>
                <w:rFonts w:ascii="Arial" w:hAnsi="Arial" w:cs="Arial"/>
                <w:sz w:val="20"/>
                <w:szCs w:val="20"/>
              </w:rPr>
              <w:t>Absence of recommended data quality/anti-fraud safeguards in EHRs have impact.</w:t>
            </w:r>
          </w:p>
        </w:tc>
        <w:tc>
          <w:tcPr>
            <w:tcW w:w="4050" w:type="dxa"/>
            <w:vAlign w:val="center"/>
          </w:tcPr>
          <w:p w:rsidR="00FB4E51" w:rsidRDefault="00F247E3" w:rsidP="0068645B">
            <w:pPr>
              <w:rPr>
                <w:rFonts w:ascii="Arial" w:hAnsi="Arial" w:cs="Arial"/>
                <w:sz w:val="20"/>
                <w:szCs w:val="20"/>
              </w:rPr>
            </w:pPr>
            <w:r w:rsidRPr="00F247E3">
              <w:rPr>
                <w:rFonts w:ascii="Arial" w:hAnsi="Arial" w:cs="Arial"/>
                <w:sz w:val="20"/>
                <w:szCs w:val="20"/>
              </w:rPr>
              <w:t>Efficiency and effectiveness of WFA programs</w:t>
            </w:r>
            <w:r w:rsidR="00FB4E51">
              <w:rPr>
                <w:rFonts w:ascii="Arial" w:hAnsi="Arial" w:cs="Arial"/>
                <w:sz w:val="20"/>
                <w:szCs w:val="20"/>
              </w:rPr>
              <w:t>:</w:t>
            </w:r>
          </w:p>
          <w:p w:rsidR="00FB4E51" w:rsidRDefault="00FB4E51" w:rsidP="0068645B">
            <w:pPr>
              <w:rPr>
                <w:rFonts w:ascii="Arial" w:hAnsi="Arial" w:cs="Arial"/>
                <w:sz w:val="20"/>
                <w:szCs w:val="20"/>
              </w:rPr>
            </w:pPr>
          </w:p>
          <w:p w:rsidR="00D964A9" w:rsidRPr="00F247E3" w:rsidRDefault="00F247E3" w:rsidP="0068645B">
            <w:pPr>
              <w:rPr>
                <w:rFonts w:ascii="Arial" w:hAnsi="Arial" w:cs="Arial"/>
                <w:sz w:val="20"/>
                <w:szCs w:val="20"/>
              </w:rPr>
            </w:pPr>
            <w:r w:rsidRPr="00F247E3">
              <w:rPr>
                <w:rFonts w:ascii="Arial" w:hAnsi="Arial" w:cs="Arial"/>
                <w:sz w:val="20"/>
                <w:szCs w:val="20"/>
              </w:rPr>
              <w:t>Rolling three year average for most recent FY 2015, submitted 2/</w:t>
            </w:r>
            <w:proofErr w:type="gramStart"/>
            <w:r w:rsidRPr="00F247E3">
              <w:rPr>
                <w:rFonts w:ascii="Arial" w:hAnsi="Arial" w:cs="Arial"/>
                <w:sz w:val="20"/>
                <w:szCs w:val="20"/>
              </w:rPr>
              <w:t>2016,</w:t>
            </w:r>
            <w:proofErr w:type="gramEnd"/>
            <w:r w:rsidRPr="00F247E3">
              <w:rPr>
                <w:rFonts w:ascii="Arial" w:hAnsi="Arial" w:cs="Arial"/>
                <w:sz w:val="20"/>
                <w:szCs w:val="20"/>
              </w:rPr>
              <w:t xml:space="preserve"> was $6.10 per $1.00.  </w:t>
            </w:r>
          </w:p>
        </w:tc>
        <w:tc>
          <w:tcPr>
            <w:tcW w:w="4158" w:type="dxa"/>
            <w:vAlign w:val="center"/>
          </w:tcPr>
          <w:p w:rsidR="009D4BCF" w:rsidRPr="009D4BCF" w:rsidRDefault="009D4BCF" w:rsidP="009D4BCF">
            <w:pPr>
              <w:rPr>
                <w:rFonts w:ascii="Arial" w:hAnsi="Arial" w:cs="Arial"/>
                <w:sz w:val="20"/>
                <w:szCs w:val="20"/>
              </w:rPr>
            </w:pPr>
            <w:r w:rsidRPr="009D4BCF">
              <w:rPr>
                <w:rFonts w:ascii="Arial" w:hAnsi="Arial" w:cs="Arial"/>
                <w:sz w:val="20"/>
                <w:szCs w:val="20"/>
              </w:rPr>
              <w:t>HHS OIG Compendium of Unimplemented Recommendations and Enforcement Actions (p. 9 of 84)  “Health Information Technology:  ONC and CMS should collaborate to develop a comprehensive plan to address fraud vulnerabilities in electronic health records.”</w:t>
            </w:r>
          </w:p>
          <w:p w:rsidR="009D4BCF" w:rsidRPr="00F247E3" w:rsidRDefault="002F5BE7" w:rsidP="009D4BCF">
            <w:pPr>
              <w:rPr>
                <w:rFonts w:ascii="Arial" w:hAnsi="Arial" w:cs="Arial"/>
                <w:sz w:val="20"/>
                <w:szCs w:val="20"/>
              </w:rPr>
            </w:pPr>
            <w:hyperlink r:id="rId6" w:history="1">
              <w:r w:rsidR="009D4BCF" w:rsidRPr="009D4BCF">
                <w:rPr>
                  <w:rStyle w:val="Hyperlink"/>
                  <w:rFonts w:ascii="Arial" w:hAnsi="Arial" w:cs="Arial"/>
                  <w:sz w:val="20"/>
                  <w:szCs w:val="20"/>
                </w:rPr>
                <w:t>http://oig.hhs.gov/reports-and-publications/compendium/files/compendium2016.pdf</w:t>
              </w:r>
            </w:hyperlink>
          </w:p>
        </w:tc>
      </w:tr>
      <w:tr w:rsidR="009D4BCF" w:rsidRPr="00F247E3" w:rsidTr="009D4BCF">
        <w:tc>
          <w:tcPr>
            <w:tcW w:w="4968" w:type="dxa"/>
            <w:vAlign w:val="center"/>
          </w:tcPr>
          <w:p w:rsidR="00D964A9" w:rsidRPr="00F247E3" w:rsidRDefault="00D964A9" w:rsidP="0068645B">
            <w:pPr>
              <w:rPr>
                <w:rFonts w:ascii="Arial" w:hAnsi="Arial" w:cs="Arial"/>
                <w:sz w:val="20"/>
                <w:szCs w:val="20"/>
              </w:rPr>
            </w:pPr>
            <w:r w:rsidRPr="00F247E3">
              <w:rPr>
                <w:rFonts w:ascii="Arial" w:hAnsi="Arial" w:cs="Arial"/>
                <w:sz w:val="20"/>
                <w:szCs w:val="20"/>
              </w:rPr>
              <w:t xml:space="preserve">False Claims Act: Example-absence of documentation attribution requirements (who actually provided what services) means clinical services of </w:t>
            </w:r>
            <w:r w:rsidRPr="00F247E3">
              <w:rPr>
                <w:rFonts w:ascii="Arial" w:hAnsi="Arial" w:cs="Arial"/>
                <w:sz w:val="20"/>
                <w:szCs w:val="20"/>
              </w:rPr>
              <w:lastRenderedPageBreak/>
              <w:t xml:space="preserve">lower value (less qualified, possibly unqualified personnel) get paid at rate of “apparent” provider.    </w:t>
            </w:r>
          </w:p>
        </w:tc>
        <w:tc>
          <w:tcPr>
            <w:tcW w:w="4050" w:type="dxa"/>
            <w:vAlign w:val="center"/>
          </w:tcPr>
          <w:p w:rsidR="00D964A9" w:rsidRPr="00F247E3" w:rsidRDefault="00D964A9" w:rsidP="0068645B">
            <w:pPr>
              <w:rPr>
                <w:rFonts w:ascii="Arial" w:hAnsi="Arial" w:cs="Arial"/>
                <w:sz w:val="20"/>
                <w:szCs w:val="20"/>
              </w:rPr>
            </w:pPr>
            <w:r w:rsidRPr="00F247E3">
              <w:rPr>
                <w:rFonts w:ascii="Arial" w:hAnsi="Arial" w:cs="Arial"/>
                <w:sz w:val="20"/>
                <w:szCs w:val="20"/>
              </w:rPr>
              <w:lastRenderedPageBreak/>
              <w:t xml:space="preserve">Calculation done for </w:t>
            </w:r>
            <w:proofErr w:type="gramStart"/>
            <w:r w:rsidRPr="00F247E3">
              <w:rPr>
                <w:rFonts w:ascii="Arial" w:hAnsi="Arial" w:cs="Arial"/>
                <w:sz w:val="20"/>
                <w:szCs w:val="20"/>
              </w:rPr>
              <w:t>a</w:t>
            </w:r>
            <w:proofErr w:type="gramEnd"/>
            <w:r w:rsidRPr="00F247E3">
              <w:rPr>
                <w:rFonts w:ascii="Arial" w:hAnsi="Arial" w:cs="Arial"/>
                <w:sz w:val="20"/>
                <w:szCs w:val="20"/>
              </w:rPr>
              <w:t xml:space="preserve"> upper Midwestern org based on assumption of 20% of encounters at $5500 to $11,000 per </w:t>
            </w:r>
            <w:r w:rsidRPr="00F247E3">
              <w:rPr>
                <w:rFonts w:ascii="Arial" w:hAnsi="Arial" w:cs="Arial"/>
                <w:sz w:val="20"/>
                <w:szCs w:val="20"/>
              </w:rPr>
              <w:lastRenderedPageBreak/>
              <w:t>“event” quickly rose to hypothetical billions in fines.</w:t>
            </w:r>
          </w:p>
        </w:tc>
        <w:tc>
          <w:tcPr>
            <w:tcW w:w="4158" w:type="dxa"/>
            <w:vAlign w:val="center"/>
          </w:tcPr>
          <w:p w:rsidR="00D964A9" w:rsidRPr="00F247E3" w:rsidRDefault="009D4BCF" w:rsidP="0068645B">
            <w:pPr>
              <w:rPr>
                <w:rFonts w:ascii="Arial" w:hAnsi="Arial" w:cs="Arial"/>
                <w:sz w:val="20"/>
                <w:szCs w:val="20"/>
              </w:rPr>
            </w:pPr>
            <w:r w:rsidRPr="009D4BCF">
              <w:rPr>
                <w:rFonts w:ascii="Arial" w:hAnsi="Arial" w:cs="Arial"/>
                <w:sz w:val="20"/>
                <w:szCs w:val="20"/>
              </w:rPr>
              <w:lastRenderedPageBreak/>
              <w:t>(Example: Unpublished report submitted to HHS OIG 2008)</w:t>
            </w:r>
          </w:p>
        </w:tc>
      </w:tr>
      <w:tr w:rsidR="009D4BCF" w:rsidRPr="00F247E3" w:rsidTr="009D4BCF">
        <w:tc>
          <w:tcPr>
            <w:tcW w:w="4968" w:type="dxa"/>
            <w:vAlign w:val="center"/>
          </w:tcPr>
          <w:p w:rsidR="00D964A9" w:rsidRPr="00F247E3" w:rsidRDefault="00D964A9" w:rsidP="0068645B">
            <w:pPr>
              <w:rPr>
                <w:rFonts w:ascii="Arial" w:hAnsi="Arial" w:cs="Arial"/>
                <w:sz w:val="20"/>
                <w:szCs w:val="20"/>
              </w:rPr>
            </w:pPr>
            <w:r w:rsidRPr="00F247E3">
              <w:rPr>
                <w:rFonts w:ascii="Arial" w:hAnsi="Arial" w:cs="Arial"/>
                <w:sz w:val="20"/>
                <w:szCs w:val="20"/>
              </w:rPr>
              <w:lastRenderedPageBreak/>
              <w:t>Data Quality management costs:  Recent presentation at a Northeastern HIMSS me</w:t>
            </w:r>
            <w:r w:rsidR="004C696C">
              <w:rPr>
                <w:rFonts w:ascii="Arial" w:hAnsi="Arial" w:cs="Arial"/>
                <w:sz w:val="20"/>
                <w:szCs w:val="20"/>
              </w:rPr>
              <w:t>eting by an HIE, CEO noted that</w:t>
            </w:r>
            <w:r w:rsidRPr="00F247E3">
              <w:rPr>
                <w:rFonts w:ascii="Arial" w:hAnsi="Arial" w:cs="Arial"/>
                <w:sz w:val="20"/>
                <w:szCs w:val="20"/>
              </w:rPr>
              <w:t>, “data quality normalization is their biggest headache and highest cost” because they have no way of evaluating, much less controlling, the reliability of source systems’ abilities to support record authenticity and data quality.   Their exchange has had to expend much effort and expense to assure that a given data set from one organization is compatible with the expectations for data quality at the other HIE participants.  Without a uniform set of EHR functional requirements to reference, these efforts remain ad hoc.</w:t>
            </w:r>
          </w:p>
        </w:tc>
        <w:tc>
          <w:tcPr>
            <w:tcW w:w="4050" w:type="dxa"/>
            <w:vAlign w:val="center"/>
          </w:tcPr>
          <w:p w:rsidR="00D964A9" w:rsidRPr="00F247E3" w:rsidRDefault="00D964A9" w:rsidP="0068645B">
            <w:pPr>
              <w:rPr>
                <w:rFonts w:ascii="Arial" w:hAnsi="Arial" w:cs="Arial"/>
                <w:sz w:val="20"/>
                <w:szCs w:val="20"/>
              </w:rPr>
            </w:pPr>
          </w:p>
        </w:tc>
        <w:tc>
          <w:tcPr>
            <w:tcW w:w="4158" w:type="dxa"/>
            <w:vAlign w:val="center"/>
          </w:tcPr>
          <w:p w:rsidR="00D964A9" w:rsidRPr="00F247E3" w:rsidRDefault="009D4BCF" w:rsidP="009D4BCF">
            <w:pPr>
              <w:rPr>
                <w:rFonts w:ascii="Arial" w:hAnsi="Arial" w:cs="Arial"/>
                <w:sz w:val="20"/>
                <w:szCs w:val="20"/>
              </w:rPr>
            </w:pPr>
            <w:r>
              <w:rPr>
                <w:rFonts w:ascii="Arial" w:hAnsi="Arial" w:cs="Arial"/>
                <w:sz w:val="20"/>
                <w:szCs w:val="20"/>
              </w:rPr>
              <w:t>[Following up with HIMSS speaker]</w:t>
            </w:r>
          </w:p>
        </w:tc>
      </w:tr>
      <w:tr w:rsidR="009D4BCF" w:rsidRPr="00F247E3" w:rsidTr="009D4BCF">
        <w:tc>
          <w:tcPr>
            <w:tcW w:w="4968" w:type="dxa"/>
            <w:tcBorders>
              <w:bottom w:val="single" w:sz="4" w:space="0" w:color="auto"/>
            </w:tcBorders>
            <w:vAlign w:val="center"/>
          </w:tcPr>
          <w:p w:rsidR="00D964A9" w:rsidRPr="00F247E3" w:rsidRDefault="00D964A9" w:rsidP="0068645B">
            <w:pPr>
              <w:rPr>
                <w:rFonts w:ascii="Arial" w:hAnsi="Arial" w:cs="Arial"/>
                <w:sz w:val="20"/>
                <w:szCs w:val="20"/>
              </w:rPr>
            </w:pPr>
            <w:r w:rsidRPr="00F247E3">
              <w:rPr>
                <w:rFonts w:ascii="Arial" w:hAnsi="Arial" w:cs="Arial"/>
                <w:sz w:val="20"/>
                <w:szCs w:val="20"/>
              </w:rPr>
              <w:t>Normal business operations costs:  Contacts in healthcare organizations note (anecdotally) a 10X+ cost increase in establishing and producing Release of Information outputs for responding to normal and recurring requests for records for non-clinical purposes (not for patient care services supports)</w:t>
            </w:r>
          </w:p>
        </w:tc>
        <w:tc>
          <w:tcPr>
            <w:tcW w:w="4050" w:type="dxa"/>
            <w:tcBorders>
              <w:bottom w:val="single" w:sz="4" w:space="0" w:color="auto"/>
            </w:tcBorders>
            <w:vAlign w:val="center"/>
          </w:tcPr>
          <w:p w:rsidR="00D964A9" w:rsidRPr="00F247E3" w:rsidRDefault="00D964A9" w:rsidP="0068645B">
            <w:pPr>
              <w:rPr>
                <w:rFonts w:ascii="Arial" w:hAnsi="Arial" w:cs="Arial"/>
                <w:sz w:val="20"/>
                <w:szCs w:val="20"/>
              </w:rPr>
            </w:pPr>
          </w:p>
        </w:tc>
        <w:tc>
          <w:tcPr>
            <w:tcW w:w="4158" w:type="dxa"/>
            <w:tcBorders>
              <w:bottom w:val="single" w:sz="4" w:space="0" w:color="auto"/>
            </w:tcBorders>
            <w:vAlign w:val="center"/>
          </w:tcPr>
          <w:p w:rsidR="00D964A9" w:rsidRPr="00F247E3" w:rsidRDefault="009D4BCF" w:rsidP="0068645B">
            <w:pPr>
              <w:rPr>
                <w:rFonts w:ascii="Arial" w:hAnsi="Arial" w:cs="Arial"/>
                <w:sz w:val="20"/>
                <w:szCs w:val="20"/>
              </w:rPr>
            </w:pPr>
            <w:r w:rsidRPr="009D4BCF">
              <w:rPr>
                <w:rFonts w:ascii="Arial" w:hAnsi="Arial" w:cs="Arial"/>
                <w:sz w:val="20"/>
                <w:szCs w:val="20"/>
              </w:rPr>
              <w:t>At K</w:t>
            </w:r>
            <w:r>
              <w:rPr>
                <w:rFonts w:ascii="Arial" w:hAnsi="Arial" w:cs="Arial"/>
                <w:sz w:val="20"/>
                <w:szCs w:val="20"/>
              </w:rPr>
              <w:t xml:space="preserve">athy </w:t>
            </w:r>
            <w:r w:rsidRPr="009D4BCF">
              <w:rPr>
                <w:rFonts w:ascii="Arial" w:hAnsi="Arial" w:cs="Arial"/>
                <w:sz w:val="20"/>
                <w:szCs w:val="20"/>
              </w:rPr>
              <w:t>Kenyon’s request last year, a number of attorneys conveyed their direct experiences in summary to ONC.   These, presumably, are available to ONC for review.  (This initiative could be restarted and advanced if of interest.)</w:t>
            </w:r>
          </w:p>
        </w:tc>
      </w:tr>
      <w:tr w:rsidR="009D4BCF" w:rsidRPr="00F247E3" w:rsidTr="009D4BCF">
        <w:tc>
          <w:tcPr>
            <w:tcW w:w="4968" w:type="dxa"/>
            <w:tcBorders>
              <w:top w:val="single" w:sz="4" w:space="0" w:color="auto"/>
              <w:bottom w:val="single" w:sz="4" w:space="0" w:color="auto"/>
            </w:tcBorders>
            <w:vAlign w:val="center"/>
          </w:tcPr>
          <w:p w:rsidR="00B07750" w:rsidRPr="00F247E3" w:rsidRDefault="00406E0F" w:rsidP="00406E0F">
            <w:pPr>
              <w:widowControl w:val="0"/>
              <w:autoSpaceDE w:val="0"/>
              <w:autoSpaceDN w:val="0"/>
              <w:adjustRightInd w:val="0"/>
              <w:rPr>
                <w:rFonts w:ascii="Arial" w:hAnsi="Arial" w:cs="Arial"/>
                <w:sz w:val="20"/>
                <w:szCs w:val="20"/>
              </w:rPr>
            </w:pPr>
            <w:r>
              <w:rPr>
                <w:rFonts w:ascii="Arial" w:hAnsi="Arial" w:cs="Arial"/>
                <w:sz w:val="20"/>
                <w:szCs w:val="20"/>
              </w:rPr>
              <w:t>Reducing</w:t>
            </w:r>
            <w:r w:rsidR="0035071C">
              <w:rPr>
                <w:rFonts w:ascii="Arial" w:hAnsi="Arial" w:cs="Arial"/>
                <w:sz w:val="20"/>
                <w:szCs w:val="20"/>
              </w:rPr>
              <w:t xml:space="preserve"> c</w:t>
            </w:r>
            <w:r w:rsidR="00B07750">
              <w:rPr>
                <w:rFonts w:ascii="Arial" w:hAnsi="Arial" w:cs="Arial"/>
                <w:sz w:val="20"/>
                <w:szCs w:val="20"/>
              </w:rPr>
              <w:t xml:space="preserve">osts of </w:t>
            </w:r>
            <w:r w:rsidR="0068645B">
              <w:rPr>
                <w:rFonts w:ascii="Arial" w:hAnsi="Arial" w:cs="Arial"/>
                <w:sz w:val="20"/>
                <w:szCs w:val="20"/>
              </w:rPr>
              <w:t>eDiscovery and L</w:t>
            </w:r>
            <w:r w:rsidR="00B07750">
              <w:rPr>
                <w:rFonts w:ascii="Arial" w:hAnsi="Arial" w:cs="Arial"/>
                <w:sz w:val="20"/>
                <w:szCs w:val="20"/>
              </w:rPr>
              <w:t>itigation</w:t>
            </w:r>
          </w:p>
        </w:tc>
        <w:tc>
          <w:tcPr>
            <w:tcW w:w="4050" w:type="dxa"/>
            <w:tcBorders>
              <w:top w:val="single" w:sz="4" w:space="0" w:color="auto"/>
              <w:bottom w:val="single" w:sz="4" w:space="0" w:color="auto"/>
            </w:tcBorders>
            <w:vAlign w:val="center"/>
          </w:tcPr>
          <w:p w:rsidR="002A1DF3" w:rsidRPr="00F247E3" w:rsidRDefault="00FB4E51" w:rsidP="00FB4E51">
            <w:pPr>
              <w:rPr>
                <w:rFonts w:ascii="Arial" w:hAnsi="Arial" w:cs="Arial"/>
                <w:sz w:val="20"/>
                <w:szCs w:val="20"/>
              </w:rPr>
            </w:pPr>
            <w:r>
              <w:rPr>
                <w:rFonts w:ascii="Arial" w:hAnsi="Arial" w:cs="Arial"/>
                <w:sz w:val="20"/>
                <w:szCs w:val="20"/>
              </w:rPr>
              <w:t xml:space="preserve">Savings from potential reduction in </w:t>
            </w:r>
            <w:bookmarkStart w:id="4" w:name="_GoBack"/>
            <w:bookmarkEnd w:id="4"/>
            <w:r w:rsidR="002A1DF3">
              <w:rPr>
                <w:rFonts w:ascii="Arial" w:hAnsi="Arial" w:cs="Arial"/>
                <w:sz w:val="20"/>
                <w:szCs w:val="20"/>
              </w:rPr>
              <w:t>rates providers pay for insurance</w:t>
            </w:r>
          </w:p>
        </w:tc>
        <w:tc>
          <w:tcPr>
            <w:tcW w:w="4158" w:type="dxa"/>
            <w:tcBorders>
              <w:top w:val="single" w:sz="4" w:space="0" w:color="auto"/>
              <w:bottom w:val="single" w:sz="4" w:space="0" w:color="auto"/>
            </w:tcBorders>
            <w:vAlign w:val="center"/>
          </w:tcPr>
          <w:p w:rsidR="00FA48A6" w:rsidRDefault="00FA48A6" w:rsidP="0068645B">
            <w:pPr>
              <w:rPr>
                <w:rFonts w:ascii="Arial" w:hAnsi="Arial" w:cs="Arial"/>
                <w:sz w:val="20"/>
                <w:szCs w:val="20"/>
              </w:rPr>
            </w:pPr>
            <w:r>
              <w:rPr>
                <w:rFonts w:ascii="Arial" w:hAnsi="Arial" w:cs="Arial"/>
                <w:sz w:val="20"/>
                <w:szCs w:val="20"/>
              </w:rPr>
              <w:t xml:space="preserve">• </w:t>
            </w:r>
            <w:hyperlink r:id="rId7" w:history="1">
              <w:r w:rsidRPr="00FA48A6">
                <w:rPr>
                  <w:rStyle w:val="Hyperlink"/>
                  <w:rFonts w:ascii="Arial" w:hAnsi="Arial" w:cs="Arial"/>
                  <w:sz w:val="20"/>
                  <w:szCs w:val="20"/>
                </w:rPr>
                <w:t>Doctors Company Claims Study</w:t>
              </w:r>
            </w:hyperlink>
          </w:p>
          <w:p w:rsidR="00633651" w:rsidRPr="00F247E3" w:rsidRDefault="00FA48A6" w:rsidP="0068645B">
            <w:pPr>
              <w:rPr>
                <w:rFonts w:ascii="Arial" w:hAnsi="Arial" w:cs="Arial"/>
                <w:sz w:val="20"/>
                <w:szCs w:val="20"/>
              </w:rPr>
            </w:pPr>
            <w:r>
              <w:rPr>
                <w:rFonts w:ascii="Arial" w:hAnsi="Arial" w:cs="Arial"/>
                <w:sz w:val="20"/>
                <w:szCs w:val="20"/>
              </w:rPr>
              <w:t xml:space="preserve">• </w:t>
            </w:r>
            <w:hyperlink r:id="rId8" w:history="1">
              <w:r w:rsidR="00633651" w:rsidRPr="00633651">
                <w:rPr>
                  <w:rStyle w:val="Hyperlink"/>
                  <w:rFonts w:ascii="Arial" w:hAnsi="Arial" w:cs="Arial"/>
                  <w:sz w:val="20"/>
                  <w:szCs w:val="20"/>
                </w:rPr>
                <w:t>PHSQ Malpractice Claims Analysis</w:t>
              </w:r>
            </w:hyperlink>
          </w:p>
        </w:tc>
      </w:tr>
      <w:tr w:rsidR="009D4BCF" w:rsidRPr="00F247E3" w:rsidTr="009D4BCF">
        <w:tc>
          <w:tcPr>
            <w:tcW w:w="4968" w:type="dxa"/>
            <w:tcBorders>
              <w:top w:val="single" w:sz="4" w:space="0" w:color="auto"/>
              <w:bottom w:val="single" w:sz="4" w:space="0" w:color="auto"/>
            </w:tcBorders>
            <w:vAlign w:val="center"/>
          </w:tcPr>
          <w:p w:rsidR="004F76C0" w:rsidRDefault="004F76C0" w:rsidP="00FC6010">
            <w:pPr>
              <w:widowControl w:val="0"/>
              <w:autoSpaceDE w:val="0"/>
              <w:autoSpaceDN w:val="0"/>
              <w:adjustRightInd w:val="0"/>
              <w:rPr>
                <w:rFonts w:ascii="Arial" w:hAnsi="Arial" w:cs="Arial"/>
                <w:sz w:val="20"/>
                <w:szCs w:val="20"/>
              </w:rPr>
            </w:pPr>
            <w:r>
              <w:rPr>
                <w:rFonts w:ascii="Arial" w:hAnsi="Arial" w:cs="Arial"/>
                <w:sz w:val="20"/>
                <w:szCs w:val="20"/>
              </w:rPr>
              <w:t xml:space="preserve">Developing a formal reference </w:t>
            </w:r>
            <w:r w:rsidR="007067E8">
              <w:rPr>
                <w:rFonts w:ascii="Arial" w:hAnsi="Arial" w:cs="Arial"/>
                <w:sz w:val="20"/>
                <w:szCs w:val="20"/>
              </w:rPr>
              <w:t>establishing</w:t>
            </w:r>
            <w:r>
              <w:rPr>
                <w:rFonts w:ascii="Arial" w:hAnsi="Arial" w:cs="Arial"/>
                <w:sz w:val="20"/>
                <w:szCs w:val="20"/>
              </w:rPr>
              <w:t xml:space="preserve"> </w:t>
            </w:r>
            <w:r w:rsidR="00113F6E">
              <w:rPr>
                <w:rFonts w:ascii="Arial" w:hAnsi="Arial" w:cs="Arial"/>
                <w:sz w:val="20"/>
                <w:szCs w:val="20"/>
              </w:rPr>
              <w:t xml:space="preserve">accountability, </w:t>
            </w:r>
            <w:r w:rsidR="00FC6010">
              <w:rPr>
                <w:rFonts w:ascii="Arial" w:hAnsi="Arial" w:cs="Arial"/>
                <w:sz w:val="20"/>
                <w:szCs w:val="20"/>
              </w:rPr>
              <w:t xml:space="preserve">key tenets, uniform and </w:t>
            </w:r>
            <w:r>
              <w:rPr>
                <w:rFonts w:ascii="Arial" w:hAnsi="Arial" w:cs="Arial"/>
                <w:sz w:val="20"/>
                <w:szCs w:val="20"/>
              </w:rPr>
              <w:t xml:space="preserve">common practices for managing and preserving </w:t>
            </w:r>
            <w:r w:rsidR="00D6422F">
              <w:rPr>
                <w:rFonts w:ascii="Arial" w:hAnsi="Arial" w:cs="Arial"/>
                <w:sz w:val="20"/>
                <w:szCs w:val="20"/>
              </w:rPr>
              <w:t>electronic health data/records</w:t>
            </w:r>
            <w:r>
              <w:rPr>
                <w:rFonts w:ascii="Arial" w:hAnsi="Arial" w:cs="Arial"/>
                <w:sz w:val="20"/>
                <w:szCs w:val="20"/>
              </w:rPr>
              <w:t xml:space="preserve">, similar to the Generally Accepted Accounting </w:t>
            </w:r>
            <w:r w:rsidR="00FC6010">
              <w:rPr>
                <w:rFonts w:ascii="Arial" w:hAnsi="Arial" w:cs="Arial"/>
                <w:sz w:val="20"/>
                <w:szCs w:val="20"/>
              </w:rPr>
              <w:t>Principles</w:t>
            </w:r>
            <w:r>
              <w:rPr>
                <w:rFonts w:ascii="Arial" w:hAnsi="Arial" w:cs="Arial"/>
                <w:sz w:val="20"/>
                <w:szCs w:val="20"/>
              </w:rPr>
              <w:t xml:space="preserve"> (GAAP) standards</w:t>
            </w:r>
          </w:p>
        </w:tc>
        <w:tc>
          <w:tcPr>
            <w:tcW w:w="4050" w:type="dxa"/>
            <w:tcBorders>
              <w:top w:val="single" w:sz="4" w:space="0" w:color="auto"/>
              <w:bottom w:val="single" w:sz="4" w:space="0" w:color="auto"/>
            </w:tcBorders>
            <w:vAlign w:val="center"/>
          </w:tcPr>
          <w:p w:rsidR="00D6422F" w:rsidRPr="00113F6E" w:rsidRDefault="00D6422F" w:rsidP="00113F6E">
            <w:pPr>
              <w:pStyle w:val="ListParagraph"/>
              <w:numPr>
                <w:ilvl w:val="0"/>
                <w:numId w:val="4"/>
              </w:numPr>
              <w:ind w:left="162" w:hanging="162"/>
              <w:rPr>
                <w:rFonts w:ascii="Arial" w:hAnsi="Arial" w:cs="Arial"/>
                <w:sz w:val="20"/>
                <w:szCs w:val="20"/>
              </w:rPr>
            </w:pPr>
            <w:r w:rsidRPr="00113F6E">
              <w:rPr>
                <w:rFonts w:ascii="Arial" w:hAnsi="Arial" w:cs="Arial"/>
                <w:sz w:val="20"/>
                <w:szCs w:val="20"/>
              </w:rPr>
              <w:t>Savings from consistent EHR records management practices</w:t>
            </w:r>
          </w:p>
          <w:p w:rsidR="00D6422F" w:rsidRPr="00113F6E" w:rsidRDefault="00D6422F" w:rsidP="00113F6E">
            <w:pPr>
              <w:pStyle w:val="ListParagraph"/>
              <w:numPr>
                <w:ilvl w:val="0"/>
                <w:numId w:val="4"/>
              </w:numPr>
              <w:ind w:left="162" w:hanging="162"/>
              <w:rPr>
                <w:rFonts w:ascii="Arial" w:hAnsi="Arial" w:cs="Arial"/>
                <w:sz w:val="20"/>
                <w:szCs w:val="20"/>
              </w:rPr>
            </w:pPr>
            <w:r w:rsidRPr="00113F6E">
              <w:rPr>
                <w:rFonts w:ascii="Arial" w:hAnsi="Arial" w:cs="Arial"/>
                <w:sz w:val="20"/>
                <w:szCs w:val="20"/>
              </w:rPr>
              <w:t xml:space="preserve">Savings from interoperability improvements </w:t>
            </w:r>
            <w:r w:rsidR="0050616F" w:rsidRPr="00113F6E">
              <w:rPr>
                <w:rFonts w:ascii="Arial" w:hAnsi="Arial" w:cs="Arial"/>
                <w:sz w:val="20"/>
                <w:szCs w:val="20"/>
              </w:rPr>
              <w:t>based on broad-based commonalties</w:t>
            </w:r>
          </w:p>
          <w:p w:rsidR="004F76C0" w:rsidRPr="00113F6E" w:rsidRDefault="00D6422F" w:rsidP="00113F6E">
            <w:pPr>
              <w:pStyle w:val="ListParagraph"/>
              <w:numPr>
                <w:ilvl w:val="0"/>
                <w:numId w:val="4"/>
              </w:numPr>
              <w:ind w:left="162" w:hanging="162"/>
              <w:rPr>
                <w:rFonts w:ascii="Arial" w:hAnsi="Arial" w:cs="Arial"/>
                <w:sz w:val="20"/>
                <w:szCs w:val="20"/>
              </w:rPr>
            </w:pPr>
            <w:r w:rsidRPr="00113F6E">
              <w:rPr>
                <w:rFonts w:ascii="Arial" w:hAnsi="Arial" w:cs="Arial"/>
                <w:sz w:val="20"/>
                <w:szCs w:val="20"/>
              </w:rPr>
              <w:t>Accruing to</w:t>
            </w:r>
            <w:r w:rsidR="0050616F" w:rsidRPr="00113F6E">
              <w:rPr>
                <w:rFonts w:ascii="Arial" w:hAnsi="Arial" w:cs="Arial"/>
                <w:sz w:val="20"/>
                <w:szCs w:val="20"/>
              </w:rPr>
              <w:t>:  providers, claimants, defenders</w:t>
            </w:r>
            <w:r w:rsidRPr="00113F6E">
              <w:rPr>
                <w:rFonts w:ascii="Arial" w:hAnsi="Arial" w:cs="Arial"/>
                <w:sz w:val="20"/>
                <w:szCs w:val="20"/>
              </w:rPr>
              <w:t xml:space="preserve"> </w:t>
            </w:r>
          </w:p>
        </w:tc>
        <w:tc>
          <w:tcPr>
            <w:tcW w:w="4158" w:type="dxa"/>
            <w:tcBorders>
              <w:top w:val="single" w:sz="4" w:space="0" w:color="auto"/>
              <w:bottom w:val="single" w:sz="4" w:space="0" w:color="auto"/>
            </w:tcBorders>
            <w:vAlign w:val="center"/>
          </w:tcPr>
          <w:p w:rsidR="004F76C0" w:rsidRPr="00FC6010" w:rsidRDefault="002F5BE7" w:rsidP="0068645B">
            <w:pPr>
              <w:rPr>
                <w:rFonts w:ascii="Arial" w:hAnsi="Arial"/>
                <w:sz w:val="20"/>
              </w:rPr>
            </w:pPr>
            <w:hyperlink r:id="rId9" w:history="1">
              <w:r w:rsidR="00FC6010" w:rsidRPr="00FC6010">
                <w:rPr>
                  <w:rStyle w:val="Hyperlink"/>
                  <w:rFonts w:ascii="Arial" w:hAnsi="Arial"/>
                  <w:sz w:val="20"/>
                </w:rPr>
                <w:t>GAAP Accounting Standards</w:t>
              </w:r>
            </w:hyperlink>
          </w:p>
        </w:tc>
      </w:tr>
      <w:tr w:rsidR="009D4BCF" w:rsidRPr="00F247E3" w:rsidTr="009D4BCF">
        <w:tc>
          <w:tcPr>
            <w:tcW w:w="4968" w:type="dxa"/>
            <w:tcBorders>
              <w:top w:val="single" w:sz="4" w:space="0" w:color="auto"/>
              <w:bottom w:val="single" w:sz="4" w:space="0" w:color="auto"/>
            </w:tcBorders>
            <w:vAlign w:val="center"/>
          </w:tcPr>
          <w:p w:rsidR="0035071C" w:rsidRDefault="00406E0F" w:rsidP="00406E0F">
            <w:pPr>
              <w:widowControl w:val="0"/>
              <w:autoSpaceDE w:val="0"/>
              <w:autoSpaceDN w:val="0"/>
              <w:adjustRightInd w:val="0"/>
              <w:rPr>
                <w:rFonts w:ascii="Arial" w:hAnsi="Arial" w:cs="Arial"/>
                <w:sz w:val="20"/>
                <w:szCs w:val="20"/>
              </w:rPr>
            </w:pPr>
            <w:r>
              <w:rPr>
                <w:rFonts w:ascii="Arial" w:hAnsi="Arial" w:cs="Arial"/>
                <w:sz w:val="20"/>
                <w:szCs w:val="20"/>
              </w:rPr>
              <w:t xml:space="preserve">Ensuring common methods of </w:t>
            </w:r>
            <w:r w:rsidR="00D03824">
              <w:rPr>
                <w:rFonts w:ascii="Arial" w:hAnsi="Arial" w:cs="Arial"/>
                <w:sz w:val="20"/>
                <w:szCs w:val="20"/>
              </w:rPr>
              <w:t xml:space="preserve">capturing, retaining and rendering </w:t>
            </w:r>
            <w:r>
              <w:rPr>
                <w:rFonts w:ascii="Arial" w:hAnsi="Arial" w:cs="Arial"/>
                <w:sz w:val="20"/>
                <w:szCs w:val="20"/>
              </w:rPr>
              <w:t>evidentiary metadata in EHR systems</w:t>
            </w:r>
            <w:r w:rsidR="004F76C0">
              <w:rPr>
                <w:rFonts w:ascii="Arial" w:hAnsi="Arial" w:cs="Arial"/>
                <w:sz w:val="20"/>
                <w:szCs w:val="20"/>
              </w:rPr>
              <w:t xml:space="preserve"> and records</w:t>
            </w:r>
            <w:r>
              <w:rPr>
                <w:rFonts w:ascii="Arial" w:hAnsi="Arial" w:cs="Arial"/>
                <w:sz w:val="20"/>
                <w:szCs w:val="20"/>
              </w:rPr>
              <w:t xml:space="preserve">, across providers, across geographic locations </w:t>
            </w:r>
          </w:p>
        </w:tc>
        <w:tc>
          <w:tcPr>
            <w:tcW w:w="4050" w:type="dxa"/>
            <w:tcBorders>
              <w:top w:val="single" w:sz="4" w:space="0" w:color="auto"/>
              <w:bottom w:val="single" w:sz="4" w:space="0" w:color="auto"/>
            </w:tcBorders>
            <w:vAlign w:val="center"/>
          </w:tcPr>
          <w:p w:rsidR="0050616F" w:rsidRPr="00113F6E" w:rsidRDefault="0050616F" w:rsidP="00113F6E">
            <w:pPr>
              <w:pStyle w:val="ListParagraph"/>
              <w:numPr>
                <w:ilvl w:val="0"/>
                <w:numId w:val="4"/>
              </w:numPr>
              <w:ind w:left="162" w:hanging="162"/>
              <w:rPr>
                <w:rFonts w:ascii="Arial" w:hAnsi="Arial" w:cs="Arial"/>
                <w:sz w:val="20"/>
                <w:szCs w:val="20"/>
              </w:rPr>
            </w:pPr>
            <w:r>
              <w:rPr>
                <w:rFonts w:ascii="Arial" w:hAnsi="Arial" w:cs="Arial"/>
                <w:sz w:val="20"/>
                <w:szCs w:val="20"/>
              </w:rPr>
              <w:t>Savings from consistent EHR records evidentiary practices</w:t>
            </w:r>
          </w:p>
          <w:p w:rsidR="0050616F" w:rsidRPr="00F247E3" w:rsidRDefault="0050616F" w:rsidP="00113F6E">
            <w:pPr>
              <w:pStyle w:val="ListParagraph"/>
              <w:numPr>
                <w:ilvl w:val="0"/>
                <w:numId w:val="4"/>
              </w:numPr>
              <w:ind w:left="162" w:hanging="162"/>
              <w:rPr>
                <w:rFonts w:ascii="Arial" w:hAnsi="Arial" w:cs="Arial"/>
                <w:sz w:val="20"/>
                <w:szCs w:val="20"/>
              </w:rPr>
            </w:pPr>
            <w:r>
              <w:rPr>
                <w:rFonts w:ascii="Arial" w:hAnsi="Arial" w:cs="Arial"/>
                <w:sz w:val="20"/>
                <w:szCs w:val="20"/>
              </w:rPr>
              <w:t>Accruing to:  auditors, providers, claimants, defenders</w:t>
            </w:r>
          </w:p>
        </w:tc>
        <w:tc>
          <w:tcPr>
            <w:tcW w:w="4158" w:type="dxa"/>
            <w:tcBorders>
              <w:top w:val="single" w:sz="4" w:space="0" w:color="auto"/>
              <w:bottom w:val="single" w:sz="4" w:space="0" w:color="auto"/>
            </w:tcBorders>
            <w:vAlign w:val="center"/>
          </w:tcPr>
          <w:p w:rsidR="0035071C" w:rsidRDefault="0035071C" w:rsidP="0068645B"/>
        </w:tc>
      </w:tr>
      <w:tr w:rsidR="009D4BCF" w:rsidRPr="00F247E3" w:rsidTr="009D4BCF">
        <w:tc>
          <w:tcPr>
            <w:tcW w:w="4968" w:type="dxa"/>
            <w:tcBorders>
              <w:top w:val="single" w:sz="4" w:space="0" w:color="auto"/>
              <w:bottom w:val="single" w:sz="4" w:space="0" w:color="auto"/>
            </w:tcBorders>
            <w:vAlign w:val="center"/>
          </w:tcPr>
          <w:p w:rsidR="0035071C" w:rsidRDefault="00406E0F" w:rsidP="004F76C0">
            <w:pPr>
              <w:widowControl w:val="0"/>
              <w:autoSpaceDE w:val="0"/>
              <w:autoSpaceDN w:val="0"/>
              <w:adjustRightInd w:val="0"/>
              <w:rPr>
                <w:rFonts w:ascii="Arial" w:hAnsi="Arial" w:cs="Arial"/>
                <w:sz w:val="20"/>
                <w:szCs w:val="20"/>
              </w:rPr>
            </w:pPr>
            <w:r>
              <w:rPr>
                <w:rFonts w:ascii="Arial" w:hAnsi="Arial" w:cs="Arial"/>
                <w:sz w:val="20"/>
                <w:szCs w:val="20"/>
              </w:rPr>
              <w:t xml:space="preserve">Ensuring common definitions of key terms, e.g.:  accountability, event, action, actor, agent, author, enterer, role, audit, audit trail, audit report, </w:t>
            </w:r>
            <w:r w:rsidR="00D03824">
              <w:rPr>
                <w:rFonts w:ascii="Arial" w:hAnsi="Arial" w:cs="Arial"/>
                <w:sz w:val="20"/>
                <w:szCs w:val="20"/>
              </w:rPr>
              <w:t xml:space="preserve">evidentiary record, </w:t>
            </w:r>
            <w:r>
              <w:rPr>
                <w:rFonts w:ascii="Arial" w:hAnsi="Arial" w:cs="Arial"/>
                <w:sz w:val="20"/>
                <w:szCs w:val="20"/>
              </w:rPr>
              <w:t xml:space="preserve">record entry, record lifespan and lifecycle, persistence, indelibility, </w:t>
            </w:r>
            <w:r w:rsidR="00FC6010">
              <w:rPr>
                <w:rFonts w:ascii="Arial" w:hAnsi="Arial" w:cs="Arial"/>
                <w:sz w:val="20"/>
                <w:szCs w:val="20"/>
              </w:rPr>
              <w:t xml:space="preserve">fidelity to source, </w:t>
            </w:r>
            <w:r>
              <w:rPr>
                <w:rFonts w:ascii="Arial" w:hAnsi="Arial" w:cs="Arial"/>
                <w:sz w:val="20"/>
                <w:szCs w:val="20"/>
              </w:rPr>
              <w:t xml:space="preserve">access, </w:t>
            </w:r>
            <w:r>
              <w:rPr>
                <w:rFonts w:ascii="Arial" w:hAnsi="Arial" w:cs="Arial"/>
                <w:sz w:val="20"/>
                <w:szCs w:val="20"/>
              </w:rPr>
              <w:lastRenderedPageBreak/>
              <w:t>authorization</w:t>
            </w:r>
            <w:r w:rsidR="00FC6010">
              <w:rPr>
                <w:rFonts w:ascii="Arial" w:hAnsi="Arial" w:cs="Arial"/>
                <w:sz w:val="20"/>
                <w:szCs w:val="20"/>
              </w:rPr>
              <w:t>, authentication, authenticity, traceability</w:t>
            </w:r>
            <w:r>
              <w:rPr>
                <w:rFonts w:ascii="Arial" w:hAnsi="Arial" w:cs="Arial"/>
                <w:sz w:val="20"/>
                <w:szCs w:val="20"/>
              </w:rPr>
              <w:t xml:space="preserve"> and </w:t>
            </w:r>
            <w:r w:rsidR="004F76C0">
              <w:rPr>
                <w:rFonts w:ascii="Arial" w:hAnsi="Arial" w:cs="Arial"/>
                <w:sz w:val="20"/>
                <w:szCs w:val="20"/>
              </w:rPr>
              <w:t>more</w:t>
            </w:r>
          </w:p>
        </w:tc>
        <w:tc>
          <w:tcPr>
            <w:tcW w:w="4050" w:type="dxa"/>
            <w:tcBorders>
              <w:top w:val="single" w:sz="4" w:space="0" w:color="auto"/>
              <w:bottom w:val="single" w:sz="4" w:space="0" w:color="auto"/>
            </w:tcBorders>
            <w:vAlign w:val="center"/>
          </w:tcPr>
          <w:p w:rsidR="0050616F" w:rsidRPr="00113F6E" w:rsidRDefault="0050616F" w:rsidP="00113F6E">
            <w:pPr>
              <w:pStyle w:val="ListParagraph"/>
              <w:numPr>
                <w:ilvl w:val="0"/>
                <w:numId w:val="4"/>
              </w:numPr>
              <w:ind w:left="162" w:hanging="162"/>
              <w:rPr>
                <w:rFonts w:ascii="Arial" w:hAnsi="Arial" w:cs="Arial"/>
                <w:sz w:val="20"/>
                <w:szCs w:val="20"/>
              </w:rPr>
            </w:pPr>
            <w:r>
              <w:rPr>
                <w:rFonts w:ascii="Arial" w:hAnsi="Arial" w:cs="Arial"/>
                <w:sz w:val="20"/>
                <w:szCs w:val="20"/>
              </w:rPr>
              <w:lastRenderedPageBreak/>
              <w:t>Savings from common community of expression in terms, concepts and knowledge</w:t>
            </w:r>
          </w:p>
          <w:p w:rsidR="0050616F" w:rsidRPr="00F247E3" w:rsidRDefault="0050616F" w:rsidP="00113F6E">
            <w:pPr>
              <w:pStyle w:val="ListParagraph"/>
              <w:numPr>
                <w:ilvl w:val="0"/>
                <w:numId w:val="4"/>
              </w:numPr>
              <w:ind w:left="162" w:hanging="162"/>
              <w:rPr>
                <w:rFonts w:ascii="Arial" w:hAnsi="Arial" w:cs="Arial"/>
                <w:sz w:val="20"/>
                <w:szCs w:val="20"/>
              </w:rPr>
            </w:pPr>
            <w:r>
              <w:rPr>
                <w:rFonts w:ascii="Arial" w:hAnsi="Arial" w:cs="Arial"/>
                <w:sz w:val="20"/>
                <w:szCs w:val="20"/>
              </w:rPr>
              <w:t>Accruing to:  all parties</w:t>
            </w:r>
          </w:p>
        </w:tc>
        <w:tc>
          <w:tcPr>
            <w:tcW w:w="4158" w:type="dxa"/>
            <w:tcBorders>
              <w:top w:val="single" w:sz="4" w:space="0" w:color="auto"/>
              <w:bottom w:val="single" w:sz="4" w:space="0" w:color="auto"/>
            </w:tcBorders>
            <w:vAlign w:val="center"/>
          </w:tcPr>
          <w:p w:rsidR="0035071C" w:rsidRDefault="0035071C" w:rsidP="0068645B"/>
        </w:tc>
      </w:tr>
      <w:tr w:rsidR="009D4BCF" w:rsidRPr="00F247E3" w:rsidTr="009D4BCF">
        <w:tc>
          <w:tcPr>
            <w:tcW w:w="4968" w:type="dxa"/>
            <w:tcBorders>
              <w:top w:val="single" w:sz="4" w:space="0" w:color="auto"/>
              <w:bottom w:val="single" w:sz="4" w:space="0" w:color="auto"/>
            </w:tcBorders>
            <w:vAlign w:val="center"/>
          </w:tcPr>
          <w:p w:rsidR="00D964A9" w:rsidRPr="00F247E3" w:rsidRDefault="00406E0F" w:rsidP="0068645B">
            <w:pPr>
              <w:widowControl w:val="0"/>
              <w:autoSpaceDE w:val="0"/>
              <w:autoSpaceDN w:val="0"/>
              <w:adjustRightInd w:val="0"/>
              <w:rPr>
                <w:rFonts w:ascii="Arial" w:hAnsi="Arial" w:cs="Arial"/>
                <w:sz w:val="20"/>
                <w:szCs w:val="20"/>
              </w:rPr>
            </w:pPr>
            <w:r>
              <w:rPr>
                <w:rFonts w:ascii="Arial" w:hAnsi="Arial" w:cs="Arial"/>
                <w:sz w:val="20"/>
                <w:szCs w:val="20"/>
              </w:rPr>
              <w:lastRenderedPageBreak/>
              <w:t xml:space="preserve">Facilitating </w:t>
            </w:r>
            <w:r w:rsidR="0068645B">
              <w:rPr>
                <w:rFonts w:ascii="Arial" w:hAnsi="Arial" w:cs="Arial"/>
                <w:sz w:val="20"/>
                <w:szCs w:val="20"/>
              </w:rPr>
              <w:t xml:space="preserve">Federal Rules of </w:t>
            </w:r>
            <w:r w:rsidR="00D964A9" w:rsidRPr="00F247E3">
              <w:rPr>
                <w:rFonts w:ascii="Arial" w:hAnsi="Arial" w:cs="Arial"/>
                <w:sz w:val="20"/>
                <w:szCs w:val="20"/>
              </w:rPr>
              <w:t xml:space="preserve">Civil Procedure 1 </w:t>
            </w:r>
            <w:r w:rsidR="0068645B">
              <w:rPr>
                <w:rFonts w:ascii="Arial" w:hAnsi="Arial" w:cs="Arial"/>
                <w:sz w:val="20"/>
                <w:szCs w:val="20"/>
              </w:rPr>
              <w:t xml:space="preserve">(FRCP) </w:t>
            </w:r>
            <w:r w:rsidR="00D964A9" w:rsidRPr="00F247E3">
              <w:rPr>
                <w:rFonts w:ascii="Arial" w:hAnsi="Arial" w:cs="Arial"/>
                <w:sz w:val="20"/>
                <w:szCs w:val="20"/>
              </w:rPr>
              <w:t>– Cooperation between parties</w:t>
            </w:r>
            <w:r w:rsidR="001919A5">
              <w:rPr>
                <w:rFonts w:ascii="Arial" w:hAnsi="Arial" w:cs="Arial"/>
                <w:sz w:val="20"/>
                <w:szCs w:val="20"/>
              </w:rPr>
              <w:t>.  Objectives:  j</w:t>
            </w:r>
            <w:r w:rsidR="00D964A9" w:rsidRPr="00F247E3">
              <w:rPr>
                <w:rFonts w:ascii="Arial" w:hAnsi="Arial" w:cs="Arial"/>
                <w:sz w:val="20"/>
                <w:szCs w:val="20"/>
              </w:rPr>
              <w:t>ust, speedy and</w:t>
            </w:r>
            <w:r w:rsidR="00DF6CFE">
              <w:rPr>
                <w:rFonts w:ascii="Arial" w:hAnsi="Arial" w:cs="Arial"/>
                <w:sz w:val="20"/>
                <w:szCs w:val="20"/>
              </w:rPr>
              <w:t xml:space="preserve"> inexpensive.  R</w:t>
            </w:r>
            <w:r w:rsidR="00D964A9" w:rsidRPr="00F247E3">
              <w:rPr>
                <w:rFonts w:ascii="Arial" w:hAnsi="Arial" w:cs="Arial"/>
                <w:sz w:val="20"/>
                <w:szCs w:val="20"/>
              </w:rPr>
              <w:t>equires a set of standards</w:t>
            </w:r>
            <w:r w:rsidR="0068645B">
              <w:rPr>
                <w:rFonts w:ascii="Arial" w:hAnsi="Arial" w:cs="Arial"/>
                <w:sz w:val="20"/>
                <w:szCs w:val="20"/>
              </w:rPr>
              <w:t>.</w:t>
            </w:r>
          </w:p>
        </w:tc>
        <w:tc>
          <w:tcPr>
            <w:tcW w:w="4050" w:type="dxa"/>
            <w:tcBorders>
              <w:top w:val="single" w:sz="4" w:space="0" w:color="auto"/>
              <w:bottom w:val="single" w:sz="4" w:space="0" w:color="auto"/>
            </w:tcBorders>
            <w:vAlign w:val="center"/>
          </w:tcPr>
          <w:p w:rsidR="00D964A9" w:rsidRPr="00E0249A" w:rsidRDefault="00E0249A" w:rsidP="00E0249A">
            <w:pPr>
              <w:pStyle w:val="ListParagraph"/>
              <w:numPr>
                <w:ilvl w:val="0"/>
                <w:numId w:val="7"/>
              </w:numPr>
              <w:ind w:left="162" w:hanging="162"/>
              <w:rPr>
                <w:rFonts w:ascii="Arial" w:hAnsi="Arial" w:cs="Arial"/>
                <w:sz w:val="20"/>
                <w:szCs w:val="20"/>
              </w:rPr>
            </w:pPr>
            <w:r w:rsidRPr="00E0249A">
              <w:rPr>
                <w:rFonts w:ascii="Arial" w:hAnsi="Arial" w:cs="Arial"/>
                <w:sz w:val="20"/>
                <w:szCs w:val="20"/>
              </w:rPr>
              <w:t xml:space="preserve">Savings from uniformity </w:t>
            </w:r>
            <w:r>
              <w:rPr>
                <w:rFonts w:ascii="Arial" w:hAnsi="Arial" w:cs="Arial"/>
                <w:sz w:val="20"/>
                <w:szCs w:val="20"/>
              </w:rPr>
              <w:t xml:space="preserve">and common legal </w:t>
            </w:r>
            <w:r w:rsidRPr="00E0249A">
              <w:rPr>
                <w:rFonts w:ascii="Arial" w:hAnsi="Arial" w:cs="Arial"/>
                <w:sz w:val="20"/>
                <w:szCs w:val="20"/>
              </w:rPr>
              <w:t>practice</w:t>
            </w:r>
          </w:p>
          <w:p w:rsidR="00E0249A" w:rsidRPr="00E0249A" w:rsidRDefault="00E0249A" w:rsidP="00E0249A">
            <w:pPr>
              <w:pStyle w:val="ListParagraph"/>
              <w:numPr>
                <w:ilvl w:val="0"/>
                <w:numId w:val="7"/>
              </w:numPr>
              <w:ind w:left="162" w:hanging="162"/>
              <w:rPr>
                <w:rFonts w:ascii="Arial" w:hAnsi="Arial" w:cs="Arial"/>
                <w:sz w:val="20"/>
                <w:szCs w:val="20"/>
              </w:rPr>
            </w:pPr>
            <w:r w:rsidRPr="00E0249A">
              <w:rPr>
                <w:rFonts w:ascii="Arial" w:hAnsi="Arial" w:cs="Arial"/>
                <w:sz w:val="20"/>
                <w:szCs w:val="20"/>
              </w:rPr>
              <w:t>Savings from widespread adoption</w:t>
            </w:r>
          </w:p>
        </w:tc>
        <w:tc>
          <w:tcPr>
            <w:tcW w:w="4158" w:type="dxa"/>
            <w:tcBorders>
              <w:top w:val="single" w:sz="4" w:space="0" w:color="auto"/>
              <w:bottom w:val="single" w:sz="4" w:space="0" w:color="auto"/>
            </w:tcBorders>
            <w:vAlign w:val="center"/>
          </w:tcPr>
          <w:p w:rsidR="00D964A9" w:rsidRPr="00F247E3" w:rsidRDefault="002F5BE7" w:rsidP="0068645B">
            <w:pPr>
              <w:rPr>
                <w:rFonts w:ascii="Arial" w:hAnsi="Arial" w:cs="Arial"/>
                <w:sz w:val="20"/>
                <w:szCs w:val="20"/>
              </w:rPr>
            </w:pPr>
            <w:hyperlink r:id="rId10" w:history="1">
              <w:r w:rsidR="004A5174" w:rsidRPr="004A5174">
                <w:rPr>
                  <w:rStyle w:val="Hyperlink"/>
                  <w:rFonts w:ascii="Arial" w:hAnsi="Arial" w:cs="Arial"/>
                  <w:sz w:val="20"/>
                  <w:szCs w:val="20"/>
                </w:rPr>
                <w:t>US Federal Rules of Civil Procedure 1</w:t>
              </w:r>
            </w:hyperlink>
          </w:p>
        </w:tc>
      </w:tr>
      <w:tr w:rsidR="009D4BCF" w:rsidRPr="00F247E3" w:rsidTr="009D4BCF">
        <w:tc>
          <w:tcPr>
            <w:tcW w:w="4968" w:type="dxa"/>
            <w:tcBorders>
              <w:top w:val="single" w:sz="4" w:space="0" w:color="auto"/>
              <w:bottom w:val="single" w:sz="12" w:space="0" w:color="auto"/>
            </w:tcBorders>
            <w:vAlign w:val="center"/>
          </w:tcPr>
          <w:p w:rsidR="00AA1860" w:rsidRPr="00F247E3" w:rsidRDefault="00406E0F" w:rsidP="00406E0F">
            <w:pPr>
              <w:rPr>
                <w:rFonts w:ascii="Arial" w:hAnsi="Arial" w:cs="Arial"/>
                <w:sz w:val="20"/>
                <w:szCs w:val="20"/>
              </w:rPr>
            </w:pPr>
            <w:r>
              <w:rPr>
                <w:rFonts w:ascii="Arial" w:hAnsi="Arial" w:cs="Arial"/>
                <w:sz w:val="20"/>
                <w:szCs w:val="20"/>
              </w:rPr>
              <w:t xml:space="preserve">Facilitating </w:t>
            </w:r>
            <w:r w:rsidR="004C696C">
              <w:rPr>
                <w:rFonts w:ascii="Arial" w:hAnsi="Arial" w:cs="Arial"/>
                <w:sz w:val="20"/>
                <w:szCs w:val="20"/>
              </w:rPr>
              <w:t>American Bar Association (ABA)</w:t>
            </w:r>
            <w:r w:rsidR="0068645B">
              <w:rPr>
                <w:rFonts w:ascii="Arial" w:hAnsi="Arial" w:cs="Arial"/>
                <w:sz w:val="20"/>
                <w:szCs w:val="20"/>
              </w:rPr>
              <w:t xml:space="preserve"> Model Rule 1 – Competence</w:t>
            </w:r>
            <w:r>
              <w:rPr>
                <w:rFonts w:ascii="Arial" w:hAnsi="Arial" w:cs="Arial"/>
                <w:sz w:val="20"/>
                <w:szCs w:val="20"/>
              </w:rPr>
              <w:t xml:space="preserve">.  </w:t>
            </w:r>
            <w:r w:rsidR="0068645B">
              <w:rPr>
                <w:rFonts w:ascii="Arial" w:hAnsi="Arial" w:cs="Arial"/>
                <w:sz w:val="20"/>
                <w:szCs w:val="20"/>
              </w:rPr>
              <w:t>Given the convergence of FRCP and State eDiscovery Rules with the ROI Process, Courts are Recognizing (and Citing) the Dut</w:t>
            </w:r>
            <w:r w:rsidR="00AA1860">
              <w:rPr>
                <w:rFonts w:ascii="Arial" w:hAnsi="Arial" w:cs="Arial"/>
                <w:sz w:val="20"/>
                <w:szCs w:val="20"/>
              </w:rPr>
              <w:t xml:space="preserve">y of "Competence" Counsel has: </w:t>
            </w:r>
            <w:r w:rsidR="004C696C">
              <w:rPr>
                <w:rFonts w:ascii="Arial" w:hAnsi="Arial" w:cs="Arial"/>
                <w:sz w:val="20"/>
                <w:szCs w:val="20"/>
              </w:rPr>
              <w:t xml:space="preserve"> </w:t>
            </w:r>
            <w:r w:rsidR="00AA1860">
              <w:rPr>
                <w:rFonts w:ascii="Arial" w:hAnsi="Arial" w:cs="Arial"/>
                <w:sz w:val="20"/>
                <w:szCs w:val="20"/>
              </w:rPr>
              <w:t>“A</w:t>
            </w:r>
            <w:r w:rsidR="00AA1860" w:rsidRPr="00AA1860">
              <w:rPr>
                <w:rFonts w:ascii="Arial" w:hAnsi="Arial" w:cs="Arial"/>
                <w:sz w:val="20"/>
                <w:szCs w:val="20"/>
              </w:rPr>
              <w:t xml:space="preserve"> lawyer shall provide competent representation to a client. Competent representation requires the legal knowledge, skill, thoroughness and preparation reasonably necessary for the representation</w:t>
            </w:r>
            <w:r w:rsidR="00AA1860">
              <w:rPr>
                <w:rFonts w:ascii="Arial" w:hAnsi="Arial" w:cs="Arial"/>
                <w:sz w:val="20"/>
                <w:szCs w:val="20"/>
              </w:rPr>
              <w:t>”.</w:t>
            </w:r>
          </w:p>
        </w:tc>
        <w:tc>
          <w:tcPr>
            <w:tcW w:w="4050" w:type="dxa"/>
            <w:tcBorders>
              <w:top w:val="single" w:sz="4" w:space="0" w:color="auto"/>
              <w:bottom w:val="single" w:sz="12" w:space="0" w:color="auto"/>
            </w:tcBorders>
            <w:vAlign w:val="center"/>
          </w:tcPr>
          <w:p w:rsidR="0068645B" w:rsidRPr="00F247E3" w:rsidRDefault="0068645B" w:rsidP="0068645B">
            <w:pPr>
              <w:rPr>
                <w:rFonts w:ascii="Arial" w:hAnsi="Arial" w:cs="Arial"/>
                <w:sz w:val="20"/>
                <w:szCs w:val="20"/>
              </w:rPr>
            </w:pPr>
          </w:p>
        </w:tc>
        <w:tc>
          <w:tcPr>
            <w:tcW w:w="4158" w:type="dxa"/>
            <w:tcBorders>
              <w:top w:val="single" w:sz="4" w:space="0" w:color="auto"/>
              <w:bottom w:val="single" w:sz="12" w:space="0" w:color="auto"/>
            </w:tcBorders>
            <w:vAlign w:val="center"/>
          </w:tcPr>
          <w:p w:rsidR="0068645B" w:rsidRPr="00F247E3" w:rsidRDefault="002F5BE7" w:rsidP="0068645B">
            <w:pPr>
              <w:rPr>
                <w:rFonts w:ascii="Arial" w:hAnsi="Arial" w:cs="Arial"/>
                <w:sz w:val="20"/>
                <w:szCs w:val="20"/>
              </w:rPr>
            </w:pPr>
            <w:hyperlink r:id="rId11" w:history="1">
              <w:r w:rsidR="001919A5" w:rsidRPr="001919A5">
                <w:rPr>
                  <w:rStyle w:val="Hyperlink"/>
                  <w:rFonts w:ascii="Arial" w:hAnsi="Arial" w:cs="Arial"/>
                  <w:sz w:val="20"/>
                  <w:szCs w:val="20"/>
                </w:rPr>
                <w:t>ABA Model Rule 1</w:t>
              </w:r>
            </w:hyperlink>
          </w:p>
        </w:tc>
      </w:tr>
      <w:tr w:rsidR="000908D4" w:rsidRPr="00F247E3" w:rsidTr="009D4BCF">
        <w:tc>
          <w:tcPr>
            <w:tcW w:w="13176" w:type="dxa"/>
            <w:gridSpan w:val="3"/>
            <w:tcBorders>
              <w:top w:val="single" w:sz="12" w:space="0" w:color="auto"/>
              <w:bottom w:val="single" w:sz="12" w:space="0" w:color="auto"/>
            </w:tcBorders>
            <w:shd w:val="clear" w:color="auto" w:fill="C6D9F1" w:themeFill="text2" w:themeFillTint="33"/>
            <w:vAlign w:val="center"/>
          </w:tcPr>
          <w:p w:rsidR="000908D4" w:rsidRPr="00F247E3" w:rsidRDefault="000908D4" w:rsidP="00322A59">
            <w:pPr>
              <w:rPr>
                <w:rFonts w:ascii="Arial" w:hAnsi="Arial" w:cs="Arial"/>
                <w:sz w:val="20"/>
                <w:szCs w:val="20"/>
              </w:rPr>
            </w:pPr>
            <w:r w:rsidRPr="00F247E3">
              <w:rPr>
                <w:rFonts w:ascii="Arial" w:hAnsi="Arial" w:cs="Arial"/>
                <w:sz w:val="20"/>
                <w:szCs w:val="20"/>
              </w:rPr>
              <w:t xml:space="preserve">Regarding </w:t>
            </w:r>
            <w:r w:rsidR="00322A59">
              <w:rPr>
                <w:rFonts w:ascii="Arial" w:hAnsi="Arial" w:cs="Arial"/>
                <w:sz w:val="20"/>
                <w:szCs w:val="20"/>
              </w:rPr>
              <w:t>ISO/HL7 EHR System Functional Model Release 2</w:t>
            </w:r>
            <w:r w:rsidRPr="00F247E3">
              <w:rPr>
                <w:rFonts w:ascii="Arial" w:hAnsi="Arial" w:cs="Arial"/>
                <w:sz w:val="20"/>
                <w:szCs w:val="20"/>
              </w:rPr>
              <w:t>...</w:t>
            </w:r>
          </w:p>
        </w:tc>
      </w:tr>
      <w:tr w:rsidR="009D4BCF" w:rsidRPr="00F247E3" w:rsidTr="009D4BCF">
        <w:tc>
          <w:tcPr>
            <w:tcW w:w="4968" w:type="dxa"/>
            <w:tcBorders>
              <w:bottom w:val="single" w:sz="12" w:space="0" w:color="auto"/>
            </w:tcBorders>
            <w:vAlign w:val="center"/>
          </w:tcPr>
          <w:p w:rsidR="000908D4" w:rsidRPr="00F247E3" w:rsidRDefault="000908D4" w:rsidP="0068645B">
            <w:pPr>
              <w:widowControl w:val="0"/>
              <w:autoSpaceDE w:val="0"/>
              <w:autoSpaceDN w:val="0"/>
              <w:adjustRightInd w:val="0"/>
              <w:rPr>
                <w:rFonts w:ascii="Arial" w:hAnsi="Arial" w:cs="Arial"/>
                <w:sz w:val="20"/>
                <w:szCs w:val="20"/>
              </w:rPr>
            </w:pPr>
            <w:r w:rsidRPr="00F247E3">
              <w:rPr>
                <w:rFonts w:ascii="Arial" w:hAnsi="Arial" w:cs="Arial"/>
                <w:sz w:val="20"/>
                <w:szCs w:val="20"/>
              </w:rPr>
              <w:t xml:space="preserve">Alignment of ONC (US) regulations, policies and inspection/testing programs with international standards allows US-based EHR System vendors </w:t>
            </w:r>
            <w:r w:rsidR="00F247E3">
              <w:rPr>
                <w:rFonts w:ascii="Arial" w:hAnsi="Arial" w:cs="Arial"/>
                <w:sz w:val="20"/>
                <w:szCs w:val="20"/>
              </w:rPr>
              <w:t xml:space="preserve">(and their conforming systems) </w:t>
            </w:r>
            <w:r w:rsidRPr="00F247E3">
              <w:rPr>
                <w:rFonts w:ascii="Arial" w:hAnsi="Arial" w:cs="Arial"/>
                <w:sz w:val="20"/>
                <w:szCs w:val="20"/>
              </w:rPr>
              <w:t>a competitive advantage in international markets</w:t>
            </w:r>
          </w:p>
        </w:tc>
        <w:tc>
          <w:tcPr>
            <w:tcW w:w="4050" w:type="dxa"/>
            <w:tcBorders>
              <w:bottom w:val="single" w:sz="12" w:space="0" w:color="auto"/>
            </w:tcBorders>
            <w:vAlign w:val="center"/>
          </w:tcPr>
          <w:p w:rsidR="000908D4" w:rsidRDefault="00113F6E" w:rsidP="0068645B">
            <w:pPr>
              <w:pStyle w:val="ListParagraph"/>
              <w:numPr>
                <w:ilvl w:val="0"/>
                <w:numId w:val="3"/>
              </w:numPr>
              <w:ind w:left="162" w:hanging="162"/>
              <w:rPr>
                <w:rFonts w:ascii="Arial" w:hAnsi="Arial" w:cs="Arial"/>
                <w:sz w:val="20"/>
                <w:szCs w:val="20"/>
              </w:rPr>
            </w:pPr>
            <w:r w:rsidRPr="00113F6E">
              <w:rPr>
                <w:rFonts w:ascii="Arial" w:hAnsi="Arial" w:cs="Arial"/>
                <w:sz w:val="20"/>
                <w:szCs w:val="20"/>
              </w:rPr>
              <w:t>Savings to EHR system developer:</w:t>
            </w:r>
            <w:r>
              <w:rPr>
                <w:rFonts w:ascii="Arial" w:hAnsi="Arial" w:cs="Arial"/>
                <w:sz w:val="20"/>
                <w:szCs w:val="20"/>
              </w:rPr>
              <w:t xml:space="preserve">  r</w:t>
            </w:r>
            <w:r w:rsidR="00F80D38" w:rsidRPr="00113F6E">
              <w:rPr>
                <w:rFonts w:ascii="Arial" w:hAnsi="Arial" w:cs="Arial"/>
                <w:sz w:val="20"/>
                <w:szCs w:val="20"/>
              </w:rPr>
              <w:t>educed cost of system design, development, testing, implementation and ongoing support</w:t>
            </w:r>
            <w:r w:rsidR="00896160" w:rsidRPr="00113F6E">
              <w:rPr>
                <w:rFonts w:ascii="Arial" w:hAnsi="Arial" w:cs="Arial"/>
                <w:sz w:val="20"/>
                <w:szCs w:val="20"/>
              </w:rPr>
              <w:t xml:space="preserve"> across national boundaries</w:t>
            </w:r>
          </w:p>
          <w:p w:rsidR="00F247E3" w:rsidRPr="00113F6E" w:rsidRDefault="0050616F" w:rsidP="0068645B">
            <w:pPr>
              <w:pStyle w:val="ListParagraph"/>
              <w:numPr>
                <w:ilvl w:val="0"/>
                <w:numId w:val="2"/>
              </w:numPr>
              <w:ind w:left="162" w:hanging="162"/>
              <w:rPr>
                <w:rFonts w:ascii="Arial" w:hAnsi="Arial" w:cs="Arial"/>
                <w:sz w:val="20"/>
                <w:szCs w:val="20"/>
              </w:rPr>
            </w:pPr>
            <w:r w:rsidRPr="00113F6E">
              <w:rPr>
                <w:rFonts w:ascii="Arial" w:hAnsi="Arial" w:cs="Arial"/>
                <w:sz w:val="20"/>
                <w:szCs w:val="20"/>
              </w:rPr>
              <w:t>Savings to provider</w:t>
            </w:r>
            <w:r w:rsidR="00F247E3" w:rsidRPr="00113F6E">
              <w:rPr>
                <w:rFonts w:ascii="Arial" w:hAnsi="Arial" w:cs="Arial"/>
                <w:sz w:val="20"/>
                <w:szCs w:val="20"/>
              </w:rPr>
              <w:t xml:space="preserve">:  </w:t>
            </w:r>
            <w:r w:rsidR="00113F6E">
              <w:rPr>
                <w:rFonts w:ascii="Arial" w:hAnsi="Arial" w:cs="Arial"/>
                <w:sz w:val="20"/>
                <w:szCs w:val="20"/>
              </w:rPr>
              <w:t>r</w:t>
            </w:r>
            <w:r w:rsidR="004C696C" w:rsidRPr="00113F6E">
              <w:rPr>
                <w:rFonts w:ascii="Arial" w:hAnsi="Arial" w:cs="Arial"/>
                <w:sz w:val="20"/>
                <w:szCs w:val="20"/>
              </w:rPr>
              <w:t>educed</w:t>
            </w:r>
            <w:r w:rsidR="00F247E3" w:rsidRPr="00113F6E">
              <w:rPr>
                <w:rFonts w:ascii="Arial" w:hAnsi="Arial" w:cs="Arial"/>
                <w:sz w:val="20"/>
                <w:szCs w:val="20"/>
              </w:rPr>
              <w:t xml:space="preserve"> risk if developed/proven elsewhere</w:t>
            </w:r>
          </w:p>
        </w:tc>
        <w:tc>
          <w:tcPr>
            <w:tcW w:w="4158" w:type="dxa"/>
            <w:tcBorders>
              <w:bottom w:val="single" w:sz="12" w:space="0" w:color="auto"/>
            </w:tcBorders>
            <w:vAlign w:val="center"/>
          </w:tcPr>
          <w:p w:rsidR="000908D4" w:rsidRPr="00F247E3" w:rsidRDefault="000908D4" w:rsidP="0068645B">
            <w:pPr>
              <w:rPr>
                <w:rFonts w:ascii="Arial" w:hAnsi="Arial" w:cs="Arial"/>
                <w:sz w:val="20"/>
                <w:szCs w:val="20"/>
              </w:rPr>
            </w:pPr>
          </w:p>
        </w:tc>
      </w:tr>
      <w:tr w:rsidR="00366D6F" w:rsidRPr="00F247E3" w:rsidTr="009D4BCF">
        <w:tc>
          <w:tcPr>
            <w:tcW w:w="13176" w:type="dxa"/>
            <w:gridSpan w:val="3"/>
            <w:tcBorders>
              <w:top w:val="single" w:sz="12" w:space="0" w:color="auto"/>
              <w:bottom w:val="single" w:sz="12" w:space="0" w:color="auto"/>
            </w:tcBorders>
            <w:shd w:val="clear" w:color="auto" w:fill="C6D9F1" w:themeFill="text2" w:themeFillTint="33"/>
            <w:vAlign w:val="center"/>
          </w:tcPr>
          <w:p w:rsidR="00366D6F" w:rsidRPr="00F247E3" w:rsidRDefault="00366D6F" w:rsidP="0068645B">
            <w:pPr>
              <w:rPr>
                <w:rFonts w:ascii="Arial" w:hAnsi="Arial" w:cs="Arial"/>
                <w:sz w:val="20"/>
                <w:szCs w:val="20"/>
              </w:rPr>
            </w:pPr>
            <w:r w:rsidRPr="00F247E3">
              <w:rPr>
                <w:rFonts w:ascii="Arial" w:hAnsi="Arial" w:cs="Arial"/>
                <w:sz w:val="20"/>
                <w:szCs w:val="20"/>
              </w:rPr>
              <w:t>Regarding Federal Policy...</w:t>
            </w:r>
          </w:p>
        </w:tc>
      </w:tr>
      <w:tr w:rsidR="009D4BCF" w:rsidRPr="00F247E3" w:rsidTr="009D4BCF">
        <w:tc>
          <w:tcPr>
            <w:tcW w:w="4968" w:type="dxa"/>
            <w:tcBorders>
              <w:top w:val="single" w:sz="12" w:space="0" w:color="auto"/>
              <w:bottom w:val="single" w:sz="12" w:space="0" w:color="auto"/>
            </w:tcBorders>
            <w:vAlign w:val="center"/>
          </w:tcPr>
          <w:p w:rsidR="00D964A9" w:rsidRPr="00F247E3" w:rsidRDefault="00D964A9" w:rsidP="0068645B">
            <w:pPr>
              <w:widowControl w:val="0"/>
              <w:autoSpaceDE w:val="0"/>
              <w:autoSpaceDN w:val="0"/>
              <w:adjustRightInd w:val="0"/>
              <w:rPr>
                <w:rFonts w:ascii="Arial" w:hAnsi="Arial" w:cs="Arial"/>
                <w:sz w:val="20"/>
                <w:szCs w:val="20"/>
              </w:rPr>
            </w:pPr>
            <w:r w:rsidRPr="00F247E3">
              <w:rPr>
                <w:rFonts w:ascii="Arial" w:hAnsi="Arial" w:cs="Arial"/>
                <w:sz w:val="20"/>
                <w:szCs w:val="20"/>
              </w:rPr>
              <w:t>Use of voluntary consensus standards, whenever practicable and appropriate, is intended to achieve the following goals:</w:t>
            </w:r>
          </w:p>
          <w:p w:rsidR="00D964A9" w:rsidRPr="00F247E3" w:rsidRDefault="00D07CDA" w:rsidP="0068645B">
            <w:pPr>
              <w:widowControl w:val="0"/>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E</w:t>
            </w:r>
            <w:r w:rsidR="00D964A9" w:rsidRPr="00F247E3">
              <w:rPr>
                <w:rFonts w:ascii="Arial" w:hAnsi="Arial" w:cs="Arial"/>
                <w:sz w:val="20"/>
                <w:szCs w:val="20"/>
              </w:rPr>
              <w:t>liminate the cost to the government of developing its own standard</w:t>
            </w:r>
          </w:p>
          <w:p w:rsidR="00D964A9" w:rsidRPr="00F247E3" w:rsidRDefault="00D07CDA" w:rsidP="0068645B">
            <w:pPr>
              <w:widowControl w:val="0"/>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D</w:t>
            </w:r>
            <w:r w:rsidR="00D964A9" w:rsidRPr="00F247E3">
              <w:rPr>
                <w:rFonts w:ascii="Arial" w:hAnsi="Arial" w:cs="Arial"/>
                <w:sz w:val="20"/>
                <w:szCs w:val="20"/>
              </w:rPr>
              <w:t>ecrease the cost of goods procured and the burden of complying with agency regulation</w:t>
            </w:r>
          </w:p>
          <w:p w:rsidR="00D964A9" w:rsidRPr="00F247E3" w:rsidRDefault="00D07CDA" w:rsidP="0068645B">
            <w:pPr>
              <w:widowControl w:val="0"/>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P</w:t>
            </w:r>
            <w:r w:rsidR="00D964A9" w:rsidRPr="00F247E3">
              <w:rPr>
                <w:rFonts w:ascii="Arial" w:hAnsi="Arial" w:cs="Arial"/>
                <w:sz w:val="20"/>
                <w:szCs w:val="20"/>
              </w:rPr>
              <w:t>rovide incentives and opportunities to establish standards that serve national needs</w:t>
            </w:r>
          </w:p>
          <w:p w:rsidR="00D964A9" w:rsidRPr="00F247E3" w:rsidRDefault="00D07CDA" w:rsidP="0068645B">
            <w:pPr>
              <w:widowControl w:val="0"/>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E</w:t>
            </w:r>
            <w:r w:rsidR="00D964A9" w:rsidRPr="00F247E3">
              <w:rPr>
                <w:rFonts w:ascii="Arial" w:hAnsi="Arial" w:cs="Arial"/>
                <w:sz w:val="20"/>
                <w:szCs w:val="20"/>
              </w:rPr>
              <w:t>ncourage long-term growth for U.S. enterprises</w:t>
            </w:r>
          </w:p>
          <w:p w:rsidR="00D964A9" w:rsidRPr="00F247E3" w:rsidRDefault="00D07CDA" w:rsidP="0068645B">
            <w:pPr>
              <w:widowControl w:val="0"/>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P</w:t>
            </w:r>
            <w:r w:rsidR="00D964A9" w:rsidRPr="00F247E3">
              <w:rPr>
                <w:rFonts w:ascii="Arial" w:hAnsi="Arial" w:cs="Arial"/>
                <w:sz w:val="20"/>
                <w:szCs w:val="20"/>
              </w:rPr>
              <w:t>romote efficiency and economic competition through harmonization of standards</w:t>
            </w:r>
          </w:p>
          <w:p w:rsidR="00D964A9" w:rsidRPr="00F247E3" w:rsidRDefault="00D07CDA" w:rsidP="0068645B">
            <w:pPr>
              <w:widowControl w:val="0"/>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F</w:t>
            </w:r>
            <w:r w:rsidR="00D964A9" w:rsidRPr="00F247E3">
              <w:rPr>
                <w:rFonts w:ascii="Arial" w:hAnsi="Arial" w:cs="Arial"/>
                <w:sz w:val="20"/>
                <w:szCs w:val="20"/>
              </w:rPr>
              <w:t>urther the policy of reliance upon the private sector to supply government needs for goods and services</w:t>
            </w:r>
          </w:p>
        </w:tc>
        <w:tc>
          <w:tcPr>
            <w:tcW w:w="4050" w:type="dxa"/>
            <w:tcBorders>
              <w:top w:val="single" w:sz="12" w:space="0" w:color="auto"/>
              <w:bottom w:val="single" w:sz="12" w:space="0" w:color="auto"/>
            </w:tcBorders>
            <w:vAlign w:val="center"/>
          </w:tcPr>
          <w:p w:rsidR="00896160" w:rsidRPr="00113F6E" w:rsidRDefault="00896160" w:rsidP="00113F6E">
            <w:pPr>
              <w:pStyle w:val="ListParagraph"/>
              <w:numPr>
                <w:ilvl w:val="0"/>
                <w:numId w:val="4"/>
              </w:numPr>
              <w:ind w:left="162" w:hanging="162"/>
              <w:rPr>
                <w:rFonts w:ascii="Arial" w:hAnsi="Arial" w:cs="Arial"/>
                <w:sz w:val="20"/>
                <w:szCs w:val="20"/>
              </w:rPr>
            </w:pPr>
            <w:r>
              <w:rPr>
                <w:rFonts w:ascii="Arial" w:hAnsi="Arial" w:cs="Arial"/>
                <w:sz w:val="20"/>
                <w:szCs w:val="20"/>
              </w:rPr>
              <w:t>Savings as cited (</w:t>
            </w:r>
            <w:r w:rsidRPr="00896160">
              <w:rPr>
                <w:rFonts w:ascii="Arial" w:hAnsi="Arial" w:cs="Arial"/>
                <w:sz w:val="20"/>
                <w:szCs w:val="20"/>
              </w:rPr>
              <w:sym w:font="Wingdings" w:char="F0DF"/>
            </w:r>
            <w:r>
              <w:rPr>
                <w:rFonts w:ascii="Arial" w:hAnsi="Arial" w:cs="Arial"/>
                <w:sz w:val="20"/>
                <w:szCs w:val="20"/>
              </w:rPr>
              <w:t xml:space="preserve"> in left column)</w:t>
            </w:r>
          </w:p>
          <w:p w:rsidR="00896160" w:rsidRPr="00F247E3" w:rsidRDefault="00896160" w:rsidP="00113F6E">
            <w:pPr>
              <w:pStyle w:val="ListParagraph"/>
              <w:numPr>
                <w:ilvl w:val="0"/>
                <w:numId w:val="4"/>
              </w:numPr>
              <w:ind w:left="162" w:hanging="162"/>
              <w:rPr>
                <w:rFonts w:ascii="Arial" w:hAnsi="Arial" w:cs="Arial"/>
                <w:sz w:val="20"/>
                <w:szCs w:val="20"/>
              </w:rPr>
            </w:pPr>
            <w:r>
              <w:rPr>
                <w:rFonts w:ascii="Arial" w:hAnsi="Arial" w:cs="Arial"/>
                <w:sz w:val="20"/>
                <w:szCs w:val="20"/>
              </w:rPr>
              <w:t>Accruing to:  US federal agencies, US taxpayers</w:t>
            </w:r>
          </w:p>
        </w:tc>
        <w:tc>
          <w:tcPr>
            <w:tcW w:w="4158" w:type="dxa"/>
            <w:tcBorders>
              <w:top w:val="single" w:sz="12" w:space="0" w:color="auto"/>
              <w:bottom w:val="single" w:sz="12" w:space="0" w:color="auto"/>
            </w:tcBorders>
            <w:vAlign w:val="center"/>
          </w:tcPr>
          <w:p w:rsidR="0068645B" w:rsidRDefault="002F5BE7" w:rsidP="0068645B">
            <w:pPr>
              <w:rPr>
                <w:rFonts w:ascii="Arial" w:hAnsi="Arial" w:cs="Arial"/>
                <w:sz w:val="20"/>
                <w:szCs w:val="20"/>
              </w:rPr>
            </w:pPr>
            <w:hyperlink r:id="rId12" w:history="1">
              <w:r w:rsidR="0068645B" w:rsidRPr="0068645B">
                <w:rPr>
                  <w:rStyle w:val="Hyperlink"/>
                  <w:rFonts w:ascii="Arial" w:hAnsi="Arial" w:cs="Arial"/>
                  <w:sz w:val="20"/>
                  <w:szCs w:val="20"/>
                </w:rPr>
                <w:t>US Office of Management and Budget (OMG) Standards Policy</w:t>
              </w:r>
            </w:hyperlink>
          </w:p>
          <w:p w:rsidR="0068645B" w:rsidRDefault="0068645B" w:rsidP="0068645B">
            <w:pPr>
              <w:rPr>
                <w:rFonts w:ascii="Arial" w:hAnsi="Arial" w:cs="Arial"/>
                <w:sz w:val="20"/>
                <w:szCs w:val="20"/>
              </w:rPr>
            </w:pPr>
          </w:p>
          <w:p w:rsidR="00D964A9" w:rsidRPr="00F247E3" w:rsidRDefault="002F5BE7" w:rsidP="0068645B">
            <w:pPr>
              <w:rPr>
                <w:rFonts w:ascii="Arial" w:hAnsi="Arial" w:cs="Arial"/>
                <w:sz w:val="20"/>
                <w:szCs w:val="20"/>
              </w:rPr>
            </w:pPr>
            <w:hyperlink r:id="rId13" w:history="1">
              <w:r w:rsidR="0068645B" w:rsidRPr="0068645B">
                <w:rPr>
                  <w:rStyle w:val="Hyperlink"/>
                  <w:rFonts w:ascii="Arial" w:hAnsi="Arial" w:cs="Arial"/>
                  <w:sz w:val="20"/>
                  <w:szCs w:val="20"/>
                </w:rPr>
                <w:t>OMB Circular A-119, published 27 Jan 2016</w:t>
              </w:r>
            </w:hyperlink>
          </w:p>
        </w:tc>
      </w:tr>
      <w:tr w:rsidR="00366D6F" w:rsidRPr="00F247E3" w:rsidTr="009D4BCF">
        <w:tc>
          <w:tcPr>
            <w:tcW w:w="13176" w:type="dxa"/>
            <w:gridSpan w:val="3"/>
            <w:tcBorders>
              <w:top w:val="single" w:sz="12" w:space="0" w:color="auto"/>
              <w:bottom w:val="single" w:sz="12" w:space="0" w:color="auto"/>
            </w:tcBorders>
            <w:shd w:val="clear" w:color="auto" w:fill="C6D9F1" w:themeFill="text2" w:themeFillTint="33"/>
            <w:vAlign w:val="center"/>
          </w:tcPr>
          <w:p w:rsidR="00366D6F" w:rsidRPr="00F247E3" w:rsidRDefault="00366D6F" w:rsidP="0068645B">
            <w:pPr>
              <w:rPr>
                <w:rFonts w:ascii="Arial" w:hAnsi="Arial" w:cs="Arial"/>
                <w:sz w:val="20"/>
                <w:szCs w:val="20"/>
              </w:rPr>
            </w:pPr>
            <w:r w:rsidRPr="00F247E3">
              <w:rPr>
                <w:rFonts w:ascii="Arial" w:hAnsi="Arial" w:cs="Arial"/>
                <w:sz w:val="20"/>
                <w:szCs w:val="20"/>
              </w:rPr>
              <w:lastRenderedPageBreak/>
              <w:t>Generally...</w:t>
            </w:r>
          </w:p>
        </w:tc>
      </w:tr>
      <w:tr w:rsidR="009D4BCF" w:rsidRPr="00F247E3" w:rsidTr="009D4BCF">
        <w:tc>
          <w:tcPr>
            <w:tcW w:w="4968" w:type="dxa"/>
            <w:tcBorders>
              <w:top w:val="single" w:sz="12" w:space="0" w:color="auto"/>
            </w:tcBorders>
            <w:vAlign w:val="center"/>
          </w:tcPr>
          <w:p w:rsidR="00896160" w:rsidRPr="00F247E3" w:rsidRDefault="00896160" w:rsidP="0068645B">
            <w:pPr>
              <w:rPr>
                <w:rFonts w:ascii="Arial" w:hAnsi="Arial" w:cs="Arial"/>
                <w:sz w:val="20"/>
                <w:szCs w:val="20"/>
              </w:rPr>
            </w:pPr>
            <w:r w:rsidRPr="00F247E3">
              <w:rPr>
                <w:rFonts w:ascii="Arial" w:hAnsi="Arial" w:cs="Arial"/>
                <w:sz w:val="20"/>
                <w:szCs w:val="20"/>
              </w:rPr>
              <w:t>Standards and related compliance programs help save money and improve performance, quality, safety, and reliability</w:t>
            </w:r>
          </w:p>
        </w:tc>
        <w:tc>
          <w:tcPr>
            <w:tcW w:w="4050" w:type="dxa"/>
            <w:vMerge w:val="restart"/>
            <w:tcBorders>
              <w:top w:val="single" w:sz="12" w:space="0" w:color="auto"/>
            </w:tcBorders>
            <w:vAlign w:val="center"/>
          </w:tcPr>
          <w:p w:rsidR="00896160" w:rsidRDefault="00896160" w:rsidP="00113F6E">
            <w:pPr>
              <w:pStyle w:val="ListParagraph"/>
              <w:numPr>
                <w:ilvl w:val="0"/>
                <w:numId w:val="4"/>
              </w:numPr>
              <w:ind w:left="162" w:hanging="162"/>
              <w:rPr>
                <w:rFonts w:ascii="Arial" w:hAnsi="Arial" w:cs="Arial"/>
                <w:sz w:val="20"/>
                <w:szCs w:val="20"/>
              </w:rPr>
            </w:pPr>
            <w:r>
              <w:rPr>
                <w:rFonts w:ascii="Arial" w:hAnsi="Arial" w:cs="Arial"/>
                <w:sz w:val="20"/>
                <w:szCs w:val="20"/>
              </w:rPr>
              <w:t>Savings from investment in standards and compliance programs as cited (in left column)</w:t>
            </w:r>
          </w:p>
          <w:p w:rsidR="00896160" w:rsidRDefault="00896160" w:rsidP="00113F6E">
            <w:pPr>
              <w:pStyle w:val="ListParagraph"/>
              <w:numPr>
                <w:ilvl w:val="0"/>
                <w:numId w:val="4"/>
              </w:numPr>
              <w:ind w:left="162" w:hanging="162"/>
              <w:rPr>
                <w:rFonts w:ascii="Arial" w:hAnsi="Arial" w:cs="Arial"/>
                <w:sz w:val="20"/>
                <w:szCs w:val="20"/>
              </w:rPr>
            </w:pPr>
            <w:r>
              <w:rPr>
                <w:rFonts w:ascii="Arial" w:hAnsi="Arial" w:cs="Arial"/>
                <w:sz w:val="20"/>
                <w:szCs w:val="20"/>
              </w:rPr>
              <w:t>Savings from cross-border interoperability</w:t>
            </w:r>
          </w:p>
          <w:p w:rsidR="00896160" w:rsidRDefault="00113F6E" w:rsidP="00113F6E">
            <w:pPr>
              <w:pStyle w:val="ListParagraph"/>
              <w:numPr>
                <w:ilvl w:val="0"/>
                <w:numId w:val="4"/>
              </w:numPr>
              <w:ind w:left="162" w:hanging="162"/>
              <w:rPr>
                <w:rFonts w:ascii="Arial" w:hAnsi="Arial" w:cs="Arial"/>
                <w:sz w:val="20"/>
                <w:szCs w:val="20"/>
              </w:rPr>
            </w:pPr>
            <w:r>
              <w:rPr>
                <w:rFonts w:ascii="Arial" w:hAnsi="Arial" w:cs="Arial"/>
                <w:sz w:val="20"/>
                <w:szCs w:val="20"/>
              </w:rPr>
              <w:t>Savings to R&amp;D budget with less investment</w:t>
            </w:r>
          </w:p>
          <w:p w:rsidR="00113F6E" w:rsidRPr="00113F6E" w:rsidRDefault="00113F6E" w:rsidP="00113F6E">
            <w:pPr>
              <w:pStyle w:val="ListParagraph"/>
              <w:numPr>
                <w:ilvl w:val="0"/>
                <w:numId w:val="4"/>
              </w:numPr>
              <w:ind w:left="162" w:hanging="162"/>
              <w:rPr>
                <w:rFonts w:ascii="Arial" w:hAnsi="Arial" w:cs="Arial"/>
                <w:sz w:val="20"/>
                <w:szCs w:val="20"/>
              </w:rPr>
            </w:pPr>
            <w:r>
              <w:rPr>
                <w:rFonts w:ascii="Arial" w:hAnsi="Arial" w:cs="Arial"/>
                <w:sz w:val="20"/>
                <w:szCs w:val="20"/>
              </w:rPr>
              <w:t>Savings by incorporation of standardized technologies and terminologies</w:t>
            </w:r>
          </w:p>
          <w:p w:rsidR="00113F6E" w:rsidRPr="00F247E3" w:rsidRDefault="00113F6E" w:rsidP="00113F6E">
            <w:pPr>
              <w:pStyle w:val="ListParagraph"/>
              <w:numPr>
                <w:ilvl w:val="0"/>
                <w:numId w:val="4"/>
              </w:numPr>
              <w:ind w:left="162" w:hanging="162"/>
              <w:rPr>
                <w:rFonts w:ascii="Arial" w:hAnsi="Arial" w:cs="Arial"/>
                <w:sz w:val="20"/>
                <w:szCs w:val="20"/>
              </w:rPr>
            </w:pPr>
            <w:r>
              <w:rPr>
                <w:rFonts w:ascii="Arial" w:hAnsi="Arial" w:cs="Arial"/>
                <w:sz w:val="20"/>
                <w:szCs w:val="20"/>
              </w:rPr>
              <w:t>Accruing to:  all parties</w:t>
            </w:r>
          </w:p>
        </w:tc>
        <w:bookmarkStart w:id="5" w:name="OLE_LINK9"/>
        <w:bookmarkStart w:id="6" w:name="OLE_LINK10"/>
        <w:tc>
          <w:tcPr>
            <w:tcW w:w="4158" w:type="dxa"/>
            <w:vMerge w:val="restart"/>
            <w:tcBorders>
              <w:top w:val="single" w:sz="12" w:space="0" w:color="auto"/>
            </w:tcBorders>
            <w:vAlign w:val="center"/>
          </w:tcPr>
          <w:p w:rsidR="00896160" w:rsidRPr="00F247E3" w:rsidRDefault="002F5BE7" w:rsidP="0068645B">
            <w:pPr>
              <w:rPr>
                <w:rFonts w:ascii="Arial" w:hAnsi="Arial" w:cs="Arial"/>
                <w:sz w:val="20"/>
                <w:szCs w:val="20"/>
              </w:rPr>
            </w:pPr>
            <w:r>
              <w:rPr>
                <w:rFonts w:ascii="Arial" w:hAnsi="Arial" w:cs="Arial"/>
                <w:sz w:val="20"/>
                <w:szCs w:val="20"/>
              </w:rPr>
              <w:fldChar w:fldCharType="begin"/>
            </w:r>
            <w:r w:rsidR="00896160">
              <w:rPr>
                <w:rFonts w:ascii="Arial" w:hAnsi="Arial" w:cs="Arial"/>
                <w:sz w:val="20"/>
                <w:szCs w:val="20"/>
              </w:rPr>
              <w:instrText xml:space="preserve"> HYPERLINK "http://standardsboostbusiness.org" </w:instrText>
            </w:r>
            <w:r>
              <w:rPr>
                <w:rFonts w:ascii="Arial" w:hAnsi="Arial" w:cs="Arial"/>
                <w:sz w:val="20"/>
                <w:szCs w:val="20"/>
              </w:rPr>
              <w:fldChar w:fldCharType="separate"/>
            </w:r>
            <w:r w:rsidR="00896160" w:rsidRPr="0068645B">
              <w:rPr>
                <w:rStyle w:val="Hyperlink"/>
                <w:rFonts w:ascii="Arial" w:hAnsi="Arial" w:cs="Arial"/>
                <w:sz w:val="20"/>
                <w:szCs w:val="20"/>
              </w:rPr>
              <w:t>Standards Boost Business</w:t>
            </w:r>
            <w:bookmarkEnd w:id="5"/>
            <w:bookmarkEnd w:id="6"/>
            <w:r>
              <w:rPr>
                <w:rFonts w:ascii="Arial" w:hAnsi="Arial" w:cs="Arial"/>
                <w:sz w:val="20"/>
                <w:szCs w:val="20"/>
              </w:rPr>
              <w:fldChar w:fldCharType="end"/>
            </w:r>
          </w:p>
        </w:tc>
      </w:tr>
      <w:tr w:rsidR="009D4BCF" w:rsidRPr="00F247E3" w:rsidTr="009D4BCF">
        <w:tc>
          <w:tcPr>
            <w:tcW w:w="4968" w:type="dxa"/>
            <w:vAlign w:val="center"/>
          </w:tcPr>
          <w:p w:rsidR="00896160" w:rsidRPr="00F247E3" w:rsidRDefault="00896160" w:rsidP="0068645B">
            <w:pPr>
              <w:rPr>
                <w:rFonts w:ascii="Arial" w:hAnsi="Arial" w:cs="Arial"/>
                <w:sz w:val="20"/>
                <w:szCs w:val="20"/>
              </w:rPr>
            </w:pPr>
            <w:r w:rsidRPr="00F247E3">
              <w:rPr>
                <w:rFonts w:ascii="Arial" w:hAnsi="Arial" w:cs="Arial"/>
                <w:sz w:val="20"/>
                <w:szCs w:val="20"/>
              </w:rPr>
              <w:t>Standardization and conformity assessment activities lead to lower costs by reducing redundancy, minimizing errors, and reducing time to market</w:t>
            </w:r>
          </w:p>
        </w:tc>
        <w:tc>
          <w:tcPr>
            <w:tcW w:w="4050" w:type="dxa"/>
            <w:vMerge/>
            <w:vAlign w:val="center"/>
          </w:tcPr>
          <w:p w:rsidR="00896160" w:rsidRPr="00F247E3" w:rsidRDefault="00896160" w:rsidP="0068645B">
            <w:pPr>
              <w:rPr>
                <w:rFonts w:ascii="Arial" w:hAnsi="Arial" w:cs="Arial"/>
                <w:sz w:val="20"/>
                <w:szCs w:val="20"/>
              </w:rPr>
            </w:pPr>
          </w:p>
        </w:tc>
        <w:tc>
          <w:tcPr>
            <w:tcW w:w="4158" w:type="dxa"/>
            <w:vMerge/>
            <w:vAlign w:val="center"/>
          </w:tcPr>
          <w:p w:rsidR="00896160" w:rsidRPr="00F247E3" w:rsidRDefault="00896160" w:rsidP="0068645B">
            <w:pPr>
              <w:rPr>
                <w:rFonts w:ascii="Arial" w:hAnsi="Arial" w:cs="Arial"/>
                <w:sz w:val="20"/>
                <w:szCs w:val="20"/>
              </w:rPr>
            </w:pPr>
          </w:p>
        </w:tc>
      </w:tr>
      <w:tr w:rsidR="009D4BCF" w:rsidRPr="00F247E3" w:rsidTr="009D4BCF">
        <w:tc>
          <w:tcPr>
            <w:tcW w:w="4968" w:type="dxa"/>
            <w:vAlign w:val="center"/>
          </w:tcPr>
          <w:p w:rsidR="00896160" w:rsidRPr="00F247E3" w:rsidRDefault="00896160" w:rsidP="0068645B">
            <w:pPr>
              <w:rPr>
                <w:rFonts w:ascii="Arial" w:hAnsi="Arial" w:cs="Arial"/>
                <w:sz w:val="20"/>
                <w:szCs w:val="20"/>
              </w:rPr>
            </w:pPr>
            <w:r w:rsidRPr="00F247E3">
              <w:rPr>
                <w:rFonts w:ascii="Arial" w:hAnsi="Arial" w:cs="Arial"/>
                <w:sz w:val="20"/>
                <w:szCs w:val="20"/>
              </w:rPr>
              <w:t>Standards make cross-border interoperability possible, ensuring that products manufactured in one country can be sold and used in another</w:t>
            </w:r>
          </w:p>
        </w:tc>
        <w:tc>
          <w:tcPr>
            <w:tcW w:w="4050" w:type="dxa"/>
            <w:vMerge/>
            <w:vAlign w:val="center"/>
          </w:tcPr>
          <w:p w:rsidR="00896160" w:rsidRPr="00F247E3" w:rsidRDefault="00896160" w:rsidP="0068645B">
            <w:pPr>
              <w:rPr>
                <w:rFonts w:ascii="Arial" w:hAnsi="Arial" w:cs="Arial"/>
                <w:sz w:val="20"/>
                <w:szCs w:val="20"/>
              </w:rPr>
            </w:pPr>
          </w:p>
        </w:tc>
        <w:tc>
          <w:tcPr>
            <w:tcW w:w="4158" w:type="dxa"/>
            <w:vMerge/>
            <w:vAlign w:val="center"/>
          </w:tcPr>
          <w:p w:rsidR="00896160" w:rsidRPr="00F247E3" w:rsidRDefault="00896160" w:rsidP="0068645B">
            <w:pPr>
              <w:rPr>
                <w:rFonts w:ascii="Arial" w:hAnsi="Arial" w:cs="Arial"/>
                <w:sz w:val="20"/>
                <w:szCs w:val="20"/>
              </w:rPr>
            </w:pPr>
          </w:p>
        </w:tc>
      </w:tr>
      <w:tr w:rsidR="009D4BCF" w:rsidRPr="00F247E3" w:rsidTr="009D4BCF">
        <w:tc>
          <w:tcPr>
            <w:tcW w:w="4968" w:type="dxa"/>
            <w:vAlign w:val="center"/>
          </w:tcPr>
          <w:p w:rsidR="00896160" w:rsidRPr="00F247E3" w:rsidRDefault="00896160" w:rsidP="0068645B">
            <w:pPr>
              <w:rPr>
                <w:rFonts w:ascii="Arial" w:hAnsi="Arial" w:cs="Arial"/>
                <w:sz w:val="20"/>
                <w:szCs w:val="20"/>
              </w:rPr>
            </w:pPr>
            <w:r w:rsidRPr="00F247E3">
              <w:rPr>
                <w:rFonts w:ascii="Arial" w:hAnsi="Arial" w:cs="Arial"/>
                <w:sz w:val="20"/>
                <w:szCs w:val="20"/>
              </w:rPr>
              <w:t>Businesses reduce the economic risk of their research and development activities by participating in standardization</w:t>
            </w:r>
          </w:p>
        </w:tc>
        <w:tc>
          <w:tcPr>
            <w:tcW w:w="4050" w:type="dxa"/>
            <w:vMerge/>
            <w:vAlign w:val="center"/>
          </w:tcPr>
          <w:p w:rsidR="00896160" w:rsidRPr="00F247E3" w:rsidRDefault="00896160" w:rsidP="0068645B">
            <w:pPr>
              <w:rPr>
                <w:rFonts w:ascii="Arial" w:hAnsi="Arial" w:cs="Arial"/>
                <w:sz w:val="20"/>
                <w:szCs w:val="20"/>
              </w:rPr>
            </w:pPr>
          </w:p>
        </w:tc>
        <w:tc>
          <w:tcPr>
            <w:tcW w:w="4158" w:type="dxa"/>
            <w:vMerge/>
            <w:vAlign w:val="center"/>
          </w:tcPr>
          <w:p w:rsidR="00896160" w:rsidRPr="00F247E3" w:rsidRDefault="00896160" w:rsidP="0068645B">
            <w:pPr>
              <w:rPr>
                <w:rFonts w:ascii="Arial" w:hAnsi="Arial" w:cs="Arial"/>
                <w:sz w:val="20"/>
                <w:szCs w:val="20"/>
              </w:rPr>
            </w:pPr>
          </w:p>
        </w:tc>
      </w:tr>
      <w:tr w:rsidR="009D4BCF" w:rsidRPr="00F247E3" w:rsidTr="009D4BCF">
        <w:tc>
          <w:tcPr>
            <w:tcW w:w="4968" w:type="dxa"/>
            <w:vAlign w:val="center"/>
          </w:tcPr>
          <w:p w:rsidR="00896160" w:rsidRPr="00F247E3" w:rsidRDefault="00896160" w:rsidP="0068645B">
            <w:pPr>
              <w:rPr>
                <w:rFonts w:ascii="Arial" w:hAnsi="Arial" w:cs="Arial"/>
                <w:sz w:val="20"/>
                <w:szCs w:val="20"/>
              </w:rPr>
            </w:pPr>
            <w:r w:rsidRPr="00F247E3">
              <w:rPr>
                <w:rFonts w:ascii="Arial" w:hAnsi="Arial" w:cs="Arial"/>
                <w:sz w:val="20"/>
                <w:szCs w:val="20"/>
              </w:rPr>
              <w:t>Businesses lower their overall R&amp;D costs by relying on previously standardized technologies and terminologies</w:t>
            </w:r>
          </w:p>
        </w:tc>
        <w:tc>
          <w:tcPr>
            <w:tcW w:w="4050" w:type="dxa"/>
            <w:vMerge/>
            <w:vAlign w:val="center"/>
          </w:tcPr>
          <w:p w:rsidR="00896160" w:rsidRPr="00F247E3" w:rsidRDefault="00896160" w:rsidP="0068645B">
            <w:pPr>
              <w:rPr>
                <w:rFonts w:ascii="Arial" w:hAnsi="Arial" w:cs="Arial"/>
                <w:sz w:val="20"/>
                <w:szCs w:val="20"/>
              </w:rPr>
            </w:pPr>
          </w:p>
        </w:tc>
        <w:tc>
          <w:tcPr>
            <w:tcW w:w="4158" w:type="dxa"/>
            <w:vMerge/>
            <w:vAlign w:val="center"/>
          </w:tcPr>
          <w:p w:rsidR="00896160" w:rsidRPr="00F247E3" w:rsidRDefault="00896160" w:rsidP="0068645B">
            <w:pPr>
              <w:rPr>
                <w:rFonts w:ascii="Arial" w:hAnsi="Arial" w:cs="Arial"/>
                <w:sz w:val="20"/>
                <w:szCs w:val="20"/>
              </w:rPr>
            </w:pPr>
          </w:p>
        </w:tc>
      </w:tr>
    </w:tbl>
    <w:p w:rsidR="00D00E0C" w:rsidRDefault="00D00E0C">
      <w:pPr>
        <w:rPr>
          <w:rFonts w:ascii="Arial" w:hAnsi="Arial" w:cs="Arial"/>
        </w:rPr>
      </w:pPr>
    </w:p>
    <w:p w:rsidR="002358AE" w:rsidRPr="00D00E0C" w:rsidRDefault="002358AE">
      <w:pPr>
        <w:rPr>
          <w:rFonts w:ascii="Arial" w:hAnsi="Arial" w:cs="Arial"/>
        </w:rPr>
      </w:pPr>
    </w:p>
    <w:sectPr w:rsidR="002358AE" w:rsidRPr="00D00E0C" w:rsidSect="00D00E0C">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5241C"/>
    <w:multiLevelType w:val="hybridMultilevel"/>
    <w:tmpl w:val="0534D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918B4"/>
    <w:multiLevelType w:val="hybridMultilevel"/>
    <w:tmpl w:val="E9A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F31B5"/>
    <w:multiLevelType w:val="hybridMultilevel"/>
    <w:tmpl w:val="5DF4E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481DEF"/>
    <w:multiLevelType w:val="hybridMultilevel"/>
    <w:tmpl w:val="1F1A8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7D440F"/>
    <w:multiLevelType w:val="hybridMultilevel"/>
    <w:tmpl w:val="7AEC2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ED7223"/>
    <w:multiLevelType w:val="hybridMultilevel"/>
    <w:tmpl w:val="FAA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D00E0C"/>
    <w:rsid w:val="000908D4"/>
    <w:rsid w:val="00113F6E"/>
    <w:rsid w:val="0013315D"/>
    <w:rsid w:val="001919A5"/>
    <w:rsid w:val="001B353D"/>
    <w:rsid w:val="002358AE"/>
    <w:rsid w:val="00252C2F"/>
    <w:rsid w:val="002A1DF3"/>
    <w:rsid w:val="002F5BE7"/>
    <w:rsid w:val="00322A59"/>
    <w:rsid w:val="00346E15"/>
    <w:rsid w:val="0035071C"/>
    <w:rsid w:val="00366D6F"/>
    <w:rsid w:val="00406E0F"/>
    <w:rsid w:val="00493E25"/>
    <w:rsid w:val="004A5174"/>
    <w:rsid w:val="004C696C"/>
    <w:rsid w:val="004F76C0"/>
    <w:rsid w:val="0050616F"/>
    <w:rsid w:val="005266C8"/>
    <w:rsid w:val="005B3BEB"/>
    <w:rsid w:val="005F08CF"/>
    <w:rsid w:val="00633651"/>
    <w:rsid w:val="00636D07"/>
    <w:rsid w:val="00670668"/>
    <w:rsid w:val="0068645B"/>
    <w:rsid w:val="006D35FA"/>
    <w:rsid w:val="007067E8"/>
    <w:rsid w:val="00706F32"/>
    <w:rsid w:val="00896160"/>
    <w:rsid w:val="009A159B"/>
    <w:rsid w:val="009B68E6"/>
    <w:rsid w:val="009D05A9"/>
    <w:rsid w:val="009D4BCF"/>
    <w:rsid w:val="009F3210"/>
    <w:rsid w:val="00A40191"/>
    <w:rsid w:val="00A96660"/>
    <w:rsid w:val="00AA1860"/>
    <w:rsid w:val="00AC036A"/>
    <w:rsid w:val="00B07750"/>
    <w:rsid w:val="00BA7258"/>
    <w:rsid w:val="00C53AA9"/>
    <w:rsid w:val="00D00E0C"/>
    <w:rsid w:val="00D03824"/>
    <w:rsid w:val="00D07CDA"/>
    <w:rsid w:val="00D2323A"/>
    <w:rsid w:val="00D4614D"/>
    <w:rsid w:val="00D524F0"/>
    <w:rsid w:val="00D53C31"/>
    <w:rsid w:val="00D6422F"/>
    <w:rsid w:val="00D9036C"/>
    <w:rsid w:val="00D964A9"/>
    <w:rsid w:val="00DF6CFE"/>
    <w:rsid w:val="00E0249A"/>
    <w:rsid w:val="00E231CD"/>
    <w:rsid w:val="00E737D6"/>
    <w:rsid w:val="00EB4918"/>
    <w:rsid w:val="00F247E3"/>
    <w:rsid w:val="00F80D38"/>
    <w:rsid w:val="00FA48A6"/>
    <w:rsid w:val="00FB4E51"/>
    <w:rsid w:val="00FB59B7"/>
    <w:rsid w:val="00FC598D"/>
    <w:rsid w:val="00FC6010"/>
    <w:rsid w:val="00FF447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6C8"/>
    <w:rPr>
      <w:color w:val="0000FF" w:themeColor="hyperlink"/>
      <w:u w:val="single"/>
    </w:rPr>
  </w:style>
  <w:style w:type="paragraph" w:styleId="ListParagraph">
    <w:name w:val="List Paragraph"/>
    <w:basedOn w:val="Normal"/>
    <w:uiPriority w:val="34"/>
    <w:qFormat/>
    <w:rsid w:val="00F247E3"/>
    <w:pPr>
      <w:ind w:left="720"/>
      <w:contextualSpacing/>
    </w:pPr>
  </w:style>
  <w:style w:type="character" w:styleId="FollowedHyperlink">
    <w:name w:val="FollowedHyperlink"/>
    <w:basedOn w:val="DefaultParagraphFont"/>
    <w:uiPriority w:val="99"/>
    <w:semiHidden/>
    <w:unhideWhenUsed/>
    <w:rsid w:val="00D524F0"/>
    <w:rPr>
      <w:color w:val="800080" w:themeColor="followedHyperlink"/>
      <w:u w:val="single"/>
    </w:rPr>
  </w:style>
  <w:style w:type="paragraph" w:styleId="NormalWeb">
    <w:name w:val="Normal (Web)"/>
    <w:basedOn w:val="Normal"/>
    <w:uiPriority w:val="99"/>
    <w:unhideWhenUsed/>
    <w:rsid w:val="009D4BC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6C8"/>
    <w:rPr>
      <w:color w:val="0000FF" w:themeColor="hyperlink"/>
      <w:u w:val="single"/>
    </w:rPr>
  </w:style>
  <w:style w:type="paragraph" w:styleId="ListParagraph">
    <w:name w:val="List Paragraph"/>
    <w:basedOn w:val="Normal"/>
    <w:uiPriority w:val="34"/>
    <w:qFormat/>
    <w:rsid w:val="00F247E3"/>
    <w:pPr>
      <w:ind w:left="720"/>
      <w:contextualSpacing/>
    </w:pPr>
  </w:style>
  <w:style w:type="character" w:styleId="FollowedHyperlink">
    <w:name w:val="FollowedHyperlink"/>
    <w:basedOn w:val="DefaultParagraphFont"/>
    <w:uiPriority w:val="99"/>
    <w:semiHidden/>
    <w:unhideWhenUsed/>
    <w:rsid w:val="00D524F0"/>
    <w:rPr>
      <w:color w:val="800080" w:themeColor="followedHyperlink"/>
      <w:u w:val="single"/>
    </w:rPr>
  </w:style>
  <w:style w:type="paragraph" w:styleId="NormalWeb">
    <w:name w:val="Normal (Web)"/>
    <w:basedOn w:val="Normal"/>
    <w:uiPriority w:val="99"/>
    <w:unhideWhenUsed/>
    <w:rsid w:val="009D4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10428561">
      <w:bodyDiv w:val="1"/>
      <w:marLeft w:val="0"/>
      <w:marRight w:val="0"/>
      <w:marTop w:val="0"/>
      <w:marBottom w:val="0"/>
      <w:divBdr>
        <w:top w:val="none" w:sz="0" w:space="0" w:color="auto"/>
        <w:left w:val="none" w:sz="0" w:space="0" w:color="auto"/>
        <w:bottom w:val="none" w:sz="0" w:space="0" w:color="auto"/>
        <w:right w:val="none" w:sz="0" w:space="0" w:color="auto"/>
      </w:divBdr>
      <w:divsChild>
        <w:div w:id="2038384139">
          <w:marLeft w:val="0"/>
          <w:marRight w:val="0"/>
          <w:marTop w:val="0"/>
          <w:marBottom w:val="0"/>
          <w:divBdr>
            <w:top w:val="none" w:sz="0" w:space="0" w:color="auto"/>
            <w:left w:val="none" w:sz="0" w:space="0" w:color="auto"/>
            <w:bottom w:val="none" w:sz="0" w:space="0" w:color="auto"/>
            <w:right w:val="none" w:sz="0" w:space="0" w:color="auto"/>
          </w:divBdr>
          <w:divsChild>
            <w:div w:id="1746339937">
              <w:marLeft w:val="0"/>
              <w:marRight w:val="0"/>
              <w:marTop w:val="0"/>
              <w:marBottom w:val="0"/>
              <w:divBdr>
                <w:top w:val="none" w:sz="0" w:space="0" w:color="auto"/>
                <w:left w:val="none" w:sz="0" w:space="0" w:color="auto"/>
                <w:bottom w:val="none" w:sz="0" w:space="0" w:color="auto"/>
                <w:right w:val="none" w:sz="0" w:space="0" w:color="auto"/>
              </w:divBdr>
              <w:divsChild>
                <w:div w:id="1027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1738">
      <w:bodyDiv w:val="1"/>
      <w:marLeft w:val="0"/>
      <w:marRight w:val="0"/>
      <w:marTop w:val="0"/>
      <w:marBottom w:val="0"/>
      <w:divBdr>
        <w:top w:val="none" w:sz="0" w:space="0" w:color="auto"/>
        <w:left w:val="none" w:sz="0" w:space="0" w:color="auto"/>
        <w:bottom w:val="none" w:sz="0" w:space="0" w:color="auto"/>
        <w:right w:val="none" w:sz="0" w:space="0" w:color="auto"/>
      </w:divBdr>
      <w:divsChild>
        <w:div w:id="1358576272">
          <w:marLeft w:val="0"/>
          <w:marRight w:val="0"/>
          <w:marTop w:val="0"/>
          <w:marBottom w:val="0"/>
          <w:divBdr>
            <w:top w:val="none" w:sz="0" w:space="0" w:color="auto"/>
            <w:left w:val="none" w:sz="0" w:space="0" w:color="auto"/>
            <w:bottom w:val="none" w:sz="0" w:space="0" w:color="auto"/>
            <w:right w:val="none" w:sz="0" w:space="0" w:color="auto"/>
          </w:divBdr>
          <w:divsChild>
            <w:div w:id="762260388">
              <w:marLeft w:val="0"/>
              <w:marRight w:val="0"/>
              <w:marTop w:val="0"/>
              <w:marBottom w:val="0"/>
              <w:divBdr>
                <w:top w:val="none" w:sz="0" w:space="0" w:color="auto"/>
                <w:left w:val="none" w:sz="0" w:space="0" w:color="auto"/>
                <w:bottom w:val="none" w:sz="0" w:space="0" w:color="auto"/>
                <w:right w:val="none" w:sz="0" w:space="0" w:color="auto"/>
              </w:divBdr>
              <w:divsChild>
                <w:div w:id="1283685115">
                  <w:marLeft w:val="0"/>
                  <w:marRight w:val="0"/>
                  <w:marTop w:val="0"/>
                  <w:marBottom w:val="0"/>
                  <w:divBdr>
                    <w:top w:val="none" w:sz="0" w:space="0" w:color="auto"/>
                    <w:left w:val="none" w:sz="0" w:space="0" w:color="auto"/>
                    <w:bottom w:val="none" w:sz="0" w:space="0" w:color="auto"/>
                    <w:right w:val="none" w:sz="0" w:space="0" w:color="auto"/>
                  </w:divBdr>
                  <w:divsChild>
                    <w:div w:id="878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sqh.com/january-february-2014/malpractice-claims-analysis-confirms-risks-in-ehrs" TargetMode="External"/><Relationship Id="rId13" Type="http://schemas.openxmlformats.org/officeDocument/2006/relationships/hyperlink" Target="https://www.whitehouse.gov/sites/default/files/omb/inforeg/revised_circular_a-119_as_of_1_22.pdf" TargetMode="External"/><Relationship Id="rId3" Type="http://schemas.openxmlformats.org/officeDocument/2006/relationships/settings" Target="settings.xml"/><Relationship Id="rId7" Type="http://schemas.openxmlformats.org/officeDocument/2006/relationships/hyperlink" Target="http://www.thedoctors.com/KnowledgeCenter/Publications/TheDoctorsAdvocate/Analysis-of-EHR-Contributing-Factors-in-Medical-Professional-Liability-Claims" TargetMode="External"/><Relationship Id="rId12" Type="http://schemas.openxmlformats.org/officeDocument/2006/relationships/hyperlink" Target="https://www.whitehouse.gov/omb/inforeg_infopoltec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oig.hhs.gov/reports-and-publications/compendium/files/compendium2016.pdf" TargetMode="External"/><Relationship Id="rId11" Type="http://schemas.openxmlformats.org/officeDocument/2006/relationships/hyperlink" Target="http://www.americanbar.org/groups/professional_responsibility/publications/model_rules_of_professional_conduct/model_rules_of_professional_conduct_table_of_contents.html" TargetMode="External"/><Relationship Id="rId5" Type="http://schemas.openxmlformats.org/officeDocument/2006/relationships/hyperlink" Target="https://www.ecri.org/Resources/In_the_News/PSONavigator_Data_Errors_in_Health_IT_Systems.pdf" TargetMode="External"/><Relationship Id="rId15" Type="http://schemas.openxmlformats.org/officeDocument/2006/relationships/theme" Target="theme/theme1.xml"/><Relationship Id="rId10" Type="http://schemas.openxmlformats.org/officeDocument/2006/relationships/hyperlink" Target="http://www.uscourts.gov/rules-policies/current-rules-practice-procedure/federal-rules-civil-procedure" TargetMode="External"/><Relationship Id="rId4" Type="http://schemas.openxmlformats.org/officeDocument/2006/relationships/webSettings" Target="webSettings.xml"/><Relationship Id="rId9" Type="http://schemas.openxmlformats.org/officeDocument/2006/relationships/hyperlink" Target="https://en.wikipedia.org/wiki/Generally_accepted_accounting_princi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7900</Characters>
  <Application>Microsoft Office Word</Application>
  <DocSecurity>4</DocSecurity>
  <Lines>65</Lines>
  <Paragraphs>18</Paragraphs>
  <ScaleCrop>false</ScaleCrop>
  <Company>CentriHealth</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Dickinson</dc:creator>
  <cp:lastModifiedBy>Diana Warner</cp:lastModifiedBy>
  <cp:revision>2</cp:revision>
  <dcterms:created xsi:type="dcterms:W3CDTF">2016-05-11T10:58:00Z</dcterms:created>
  <dcterms:modified xsi:type="dcterms:W3CDTF">2016-05-11T10:58:00Z</dcterms:modified>
</cp:coreProperties>
</file>