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07FE" w14:textId="77777777" w:rsidR="00CD3A75" w:rsidRPr="00441950" w:rsidRDefault="00CD3A75" w:rsidP="00CD3A75">
      <w:pPr>
        <w:rPr>
          <w:b/>
        </w:rPr>
      </w:pPr>
      <w:r w:rsidRPr="00441950">
        <w:rPr>
          <w:b/>
        </w:rPr>
        <w:t>NBS HL7 Workgroup Meeting Call Notes</w:t>
      </w:r>
    </w:p>
    <w:p w14:paraId="4398A1D8" w14:textId="3C3D7BE4" w:rsidR="00CD3A75" w:rsidRPr="00441950" w:rsidRDefault="00CD3A75" w:rsidP="00CD3A75">
      <w:pPr>
        <w:rPr>
          <w:b/>
        </w:rPr>
      </w:pPr>
      <w:r w:rsidRPr="00441950">
        <w:rPr>
          <w:b/>
        </w:rPr>
        <w:t xml:space="preserve">December </w:t>
      </w:r>
      <w:r w:rsidR="00E35B71">
        <w:rPr>
          <w:b/>
        </w:rPr>
        <w:t>20</w:t>
      </w:r>
      <w:r w:rsidRPr="00441950">
        <w:rPr>
          <w:b/>
        </w:rPr>
        <w:t>, 2016</w:t>
      </w:r>
    </w:p>
    <w:p w14:paraId="5185BE00" w14:textId="205FDD74" w:rsidR="00CD3A75" w:rsidRDefault="00CD3A75" w:rsidP="00CD3A75">
      <w:r w:rsidRPr="00441950">
        <w:rPr>
          <w:b/>
        </w:rPr>
        <w:t>Attendees:</w:t>
      </w:r>
      <w:r>
        <w:t xml:space="preserve"> Rebecca Goodwin, Riki Merrick, Emily Hopkins, Susan Downer</w:t>
      </w:r>
      <w:r w:rsidR="003871A9">
        <w:t xml:space="preserve">, </w:t>
      </w:r>
      <w:r w:rsidR="00E35B71">
        <w:t xml:space="preserve">Willie Andrews, Heather Wood, </w:t>
      </w:r>
      <w:r w:rsidR="003871A9">
        <w:t>David Jones</w:t>
      </w:r>
      <w:r>
        <w:t>, Joshua Miller, Careema Yusuf</w:t>
      </w:r>
    </w:p>
    <w:p w14:paraId="7538DA23" w14:textId="77777777" w:rsidR="00B20E6F" w:rsidRDefault="00B20E6F" w:rsidP="00CD3A75">
      <w:pPr>
        <w:pStyle w:val="ListParagraph"/>
        <w:numPr>
          <w:ilvl w:val="0"/>
          <w:numId w:val="2"/>
        </w:numPr>
      </w:pPr>
      <w:r>
        <w:t>Questions about the HL7 Results Implementation guide that is in review at HL7</w:t>
      </w:r>
    </w:p>
    <w:p w14:paraId="12D6DA5F" w14:textId="4D3A9831" w:rsidR="00CD3A75" w:rsidRDefault="00B20E6F" w:rsidP="00B20E6F">
      <w:pPr>
        <w:pStyle w:val="ListParagraph"/>
        <w:numPr>
          <w:ilvl w:val="1"/>
          <w:numId w:val="2"/>
        </w:numPr>
      </w:pPr>
      <w:r>
        <w:t>Folks have reached out to Michele Meigs(APHL) for a copy of the guide for review and comment</w:t>
      </w:r>
    </w:p>
    <w:p w14:paraId="6E126E16" w14:textId="3E0049FE" w:rsidR="00B20E6F" w:rsidRDefault="00B20E6F" w:rsidP="00CD3A75">
      <w:pPr>
        <w:pStyle w:val="ListParagraph"/>
        <w:numPr>
          <w:ilvl w:val="0"/>
          <w:numId w:val="2"/>
        </w:numPr>
      </w:pPr>
      <w:r>
        <w:t>Went through that NDBS Gap Analysis spreadsheet</w:t>
      </w:r>
    </w:p>
    <w:p w14:paraId="64E52FC9" w14:textId="30D61C98" w:rsidR="00B20E6F" w:rsidRDefault="00B20E6F" w:rsidP="00530C33">
      <w:pPr>
        <w:pStyle w:val="ListParagraph"/>
        <w:numPr>
          <w:ilvl w:val="0"/>
          <w:numId w:val="3"/>
        </w:numPr>
      </w:pPr>
      <w:r>
        <w:t>Green – same as LOI</w:t>
      </w:r>
    </w:p>
    <w:p w14:paraId="3242341D" w14:textId="5A64DD1D" w:rsidR="00B20E6F" w:rsidRDefault="00B20E6F" w:rsidP="00530C33">
      <w:pPr>
        <w:pStyle w:val="ListParagraph"/>
        <w:numPr>
          <w:ilvl w:val="0"/>
          <w:numId w:val="3"/>
        </w:numPr>
      </w:pPr>
      <w:r>
        <w:t>Yellow – ok to leave as is</w:t>
      </w:r>
    </w:p>
    <w:p w14:paraId="444306B3" w14:textId="13B44D6D" w:rsidR="00B20E6F" w:rsidRDefault="00B20E6F" w:rsidP="00530C33">
      <w:pPr>
        <w:pStyle w:val="ListParagraph"/>
        <w:numPr>
          <w:ilvl w:val="0"/>
          <w:numId w:val="3"/>
        </w:numPr>
      </w:pPr>
      <w:r>
        <w:t>Orange</w:t>
      </w:r>
      <w:r w:rsidR="00BE6ADF">
        <w:t>– members to review and get back to group with any additional information</w:t>
      </w:r>
    </w:p>
    <w:p w14:paraId="070B1808" w14:textId="781D2452" w:rsidR="00BE6ADF" w:rsidRDefault="00BE6ADF" w:rsidP="00530C33">
      <w:pPr>
        <w:pStyle w:val="ListParagraph"/>
        <w:numPr>
          <w:ilvl w:val="0"/>
          <w:numId w:val="3"/>
        </w:numPr>
      </w:pPr>
      <w:r>
        <w:t>Red – need to review</w:t>
      </w:r>
    </w:p>
    <w:p w14:paraId="3D3F687E" w14:textId="6C10B515" w:rsidR="00CD3A75" w:rsidRPr="0041188C" w:rsidRDefault="00530C33" w:rsidP="00CD3A75">
      <w:r w:rsidRPr="00530C33">
        <w:rPr>
          <w:highlight w:val="yellow"/>
        </w:rPr>
        <w:t>Action Item:</w:t>
      </w:r>
      <w:r w:rsidRPr="00530C33">
        <w:t xml:space="preserve"> Requesting all states complete their own information within the spreadsheet in the next 2 weeks</w:t>
      </w:r>
    </w:p>
    <w:p w14:paraId="33E1443F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Message structure for new order:</w:t>
      </w:r>
    </w:p>
    <w:p w14:paraId="6403E10D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Keep patient group R</w:t>
      </w:r>
    </w:p>
    <w:p w14:paraId="03DDAA76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Visit group and insurance group and as well for the GT1 segment – if need the financial profile make this varies in LOI – if needed in NDBS might want to leave as is – else chose X or O</w:t>
      </w:r>
    </w:p>
    <w:p w14:paraId="69E11235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Order group is R</w:t>
      </w:r>
    </w:p>
    <w:p w14:paraId="7A8474EF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Timing Quantity group make X</w:t>
      </w:r>
    </w:p>
    <w:p w14:paraId="4686F46D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Observation Request group is R</w:t>
      </w:r>
    </w:p>
    <w:p w14:paraId="425BE053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NTE/OBR = make RE</w:t>
      </w:r>
    </w:p>
    <w:p w14:paraId="59B9AB1D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PRT is needed to give contact info for the copy to providers</w:t>
      </w:r>
    </w:p>
    <w:p w14:paraId="42E66501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Observation group make R</w:t>
      </w:r>
    </w:p>
    <w:p w14:paraId="1BBDBFAA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Specimen group should follow LOI – the required data in the SPM has related AOEs on the LOINC panel</w:t>
      </w:r>
    </w:p>
    <w:p w14:paraId="596EB09A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 xml:space="preserve">Will see if we can have Jeff (MI) on the call </w:t>
      </w:r>
    </w:p>
    <w:p w14:paraId="0679E79B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Container group make X</w:t>
      </w:r>
    </w:p>
    <w:p w14:paraId="0DB6C8C1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Prior results make X – would this be needed for referral or repeat testing or may be borderline results, but if the results are already in the system</w:t>
      </w:r>
    </w:p>
    <w:p w14:paraId="3840445E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Have to see, how we differentiate between first and repeat tests – will check in MI; Give them the initial specimen HIT number; what about the two screen states? May be interesting to keep O to cover when a baby moves in to a 2 screen state and the results of the first screen are not at the lab. – list as either O or X and follow up</w:t>
      </w:r>
    </w:p>
    <w:p w14:paraId="148BA317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Cancelation messages:</w:t>
      </w:r>
    </w:p>
    <w:p w14:paraId="4BFC7422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 xml:space="preserve">Would NDBS support cancelation of testing? Not needed – need </w:t>
      </w:r>
      <w:proofErr w:type="spellStart"/>
      <w:r>
        <w:t>ot</w:t>
      </w:r>
      <w:proofErr w:type="spellEnd"/>
      <w:r>
        <w:t xml:space="preserve"> include in out of scope section that we don’t support cancelation</w:t>
      </w:r>
    </w:p>
    <w:p w14:paraId="2F0020D5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lastRenderedPageBreak/>
        <w:t>MSH segment:</w:t>
      </w:r>
    </w:p>
    <w:p w14:paraId="32F8551C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MSH-3 – follow LOI – RE</w:t>
      </w:r>
    </w:p>
    <w:p w14:paraId="7BE5E2D1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For HD and EI datatypes stay with LOI base and let folks decide if they want to use GU or NG</w:t>
      </w:r>
    </w:p>
    <w:p w14:paraId="3D3B6F5A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MSH-7 uses TS_1</w:t>
      </w:r>
    </w:p>
    <w:p w14:paraId="2C2B9A40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MSH-15 and MSH-16 – we do support them in LRI, so do the same here</w:t>
      </w:r>
    </w:p>
    <w:p w14:paraId="1FC958D3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MSH-21 follow LOI and add NDBS profile component</w:t>
      </w:r>
    </w:p>
    <w:p w14:paraId="0A616CC0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PID:</w:t>
      </w:r>
    </w:p>
    <w:p w14:paraId="5695A9E9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PID-3 – follow LOI data type use of HD or NG</w:t>
      </w:r>
    </w:p>
    <w:p w14:paraId="46A43745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PID-5 – limited to single repeat, as lab wants to be sure which name to put on the report – provider has to pick which name to send – NDBS guide has guidance on what to do when here is no first name  should add that guidance to the comments – copy from MI guide section 3.1.5, page 42</w:t>
      </w:r>
    </w:p>
    <w:p w14:paraId="24E933ED" w14:textId="77777777" w:rsidR="00530C33" w:rsidRDefault="00530C33" w:rsidP="00530C33">
      <w:pPr>
        <w:pStyle w:val="ListParagraph"/>
        <w:numPr>
          <w:ilvl w:val="0"/>
          <w:numId w:val="3"/>
        </w:numPr>
      </w:pPr>
      <w:r>
        <w:t>Got to PID-5.7</w:t>
      </w:r>
    </w:p>
    <w:p w14:paraId="2179C71E" w14:textId="512AA635" w:rsidR="00530C33" w:rsidRDefault="00530C33" w:rsidP="00530C33">
      <w:bookmarkStart w:id="0" w:name="_GoBack"/>
      <w:bookmarkEnd w:id="0"/>
      <w:r>
        <w:t>Will pick this up on January 3</w:t>
      </w:r>
      <w:r>
        <w:t>, 2017</w:t>
      </w:r>
      <w:r>
        <w:t xml:space="preserve"> with weekly meetings for 1 hour.</w:t>
      </w:r>
    </w:p>
    <w:p w14:paraId="1E9D112D" w14:textId="77777777" w:rsidR="00912328" w:rsidRDefault="00912328" w:rsidP="00A81D8F">
      <w:pPr>
        <w:pStyle w:val="NoSpacing"/>
      </w:pPr>
    </w:p>
    <w:sectPr w:rsidR="00912328" w:rsidSect="00912328">
      <w:headerReference w:type="default" r:id="rId12"/>
      <w:footerReference w:type="default" r:id="rId13"/>
      <w:pgSz w:w="12240" w:h="15840"/>
      <w:pgMar w:top="243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D1145" w14:textId="77777777" w:rsidR="00CC5E7F" w:rsidRDefault="00CC5E7F" w:rsidP="003F78C9">
      <w:pPr>
        <w:spacing w:after="0" w:line="240" w:lineRule="auto"/>
      </w:pPr>
      <w:r>
        <w:separator/>
      </w:r>
    </w:p>
  </w:endnote>
  <w:endnote w:type="continuationSeparator" w:id="0">
    <w:p w14:paraId="1E9D1146" w14:textId="77777777" w:rsidR="00CC5E7F" w:rsidRDefault="00CC5E7F" w:rsidP="003F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1149" w14:textId="77777777" w:rsidR="009B7383" w:rsidRDefault="009B7383" w:rsidP="009B7383">
    <w:pPr>
      <w:rPr>
        <w:rFonts w:ascii="Franklin Gothic Book" w:hAnsi="Franklin Gothic Book"/>
        <w:color w:val="595959" w:themeColor="text1" w:themeTint="A6"/>
        <w:sz w:val="18"/>
        <w:szCs w:val="18"/>
      </w:rPr>
    </w:pPr>
    <w:r>
      <w:rPr>
        <w:rFonts w:ascii="Franklin Gothic Book" w:hAnsi="Franklin Gothic Book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9D114D" wp14:editId="1E9D114E">
              <wp:simplePos x="0" y="0"/>
              <wp:positionH relativeFrom="margin">
                <wp:posOffset>-15993</wp:posOffset>
              </wp:positionH>
              <wp:positionV relativeFrom="page">
                <wp:posOffset>9079865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531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FE2C7" id="Straight Connector 1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.25pt,714.95pt" to="502.75pt,7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1D3AEAAA0EAAAOAAAAZHJzL2Uyb0RvYy54bWysU02P0zAUvCPxHyzfadJdulRR0z10tVwQ&#10;VOzyA1znubHkLz2bJv33PDttdgUICcTFie0345l59uZ+tIadAKP2ruXLRc0ZOOk77Y4t//b8+G7N&#10;WUzCdcJ4By0/Q+T327dvNkNo4Mb33nSAjEhcbIbQ8j6l0FRVlD1YERc+gKNN5dGKRFM8Vh2Kgdit&#10;qW7q+q4aPHYBvYQYafVh2uTbwq8UyPRFqQiJmZaTtlRGLOMhj9V2I5ojitBreZEh/kGFFdrRoTPV&#10;g0iCfUf9C5XVEn30Ki2kt5VXSksoHsjNsv7JzVMvAhQvFE4Mc0zx/9HKz6c9Mt1R7zhzwlKLnhIK&#10;fewT23nnKECPbJlzGkJsqHzn9niZxbDHbHpUaPOX7LCxZHues4UxMUmLd+/rel1TC+R1r3oBBozp&#10;I3jL8k/LjXbZtmjE6VNMdBiVXkvysnFsIMbbVV2qoje6e9TG5L2Ix8POIDsJ6vh6dbv8sMriieFV&#10;Gc2Mo8VsaTJR/tLZwMT/FRSFQrKX0wn5OsJMK6QEl0oohYmqM0yRhBl4kfYn4KU+Q6Fc1b8Bz4hy&#10;sndpBlvtPP5OdhqvktVUf01g8p0jOPjuXNpboqE7V5K7vI98qV/PC/zlFW9/AAAA//8DAFBLAwQU&#10;AAYACAAAACEAexTkE9wAAAANAQAADwAAAGRycy9kb3ducmV2LnhtbEyPwU7DMAyG70i8Q2QkbltC&#10;YWgrTacJDU67ULZ71pi2InFKk23d2+MdJjj686/fn4vl6J044hC7QBoepgoEUh1sR42G7efbZA4i&#10;JkPWuECo4YwRluXtTWFyG070gccqNYJLKOZGQ5tSn0sZ6xa9idPQI/HuKwzeJB6HRtrBnLjcO5kp&#10;9Sy96YgvtKbH1xbr7+rgNdQVpm3cbdarfi7prN7d4/pnp/X93bh6AZFwTH9huOizOpTstA8HslE4&#10;DZNsxknmT9liAeKSUGrGbH9lsizk/y/KXwAAAP//AwBQSwECLQAUAAYACAAAACEAtoM4kv4AAADh&#10;AQAAEwAAAAAAAAAAAAAAAAAAAAAAW0NvbnRlbnRfVHlwZXNdLnhtbFBLAQItABQABgAIAAAAIQA4&#10;/SH/1gAAAJQBAAALAAAAAAAAAAAAAAAAAC8BAABfcmVscy8ucmVsc1BLAQItABQABgAIAAAAIQD+&#10;7e1D3AEAAA0EAAAOAAAAAAAAAAAAAAAAAC4CAABkcnMvZTJvRG9jLnhtbFBLAQItABQABgAIAAAA&#10;IQB7FOQT3AAAAA0BAAAPAAAAAAAAAAAAAAAAADYEAABkcnMvZG93bnJldi54bWxQSwUGAAAAAAQA&#10;BADzAAAAPwUAAAAA&#10;" strokecolor="#853175" strokeweight=".5pt">
              <w10:wrap anchorx="margin" anchory="page"/>
            </v:line>
          </w:pict>
        </mc:Fallback>
      </mc:AlternateContent>
    </w:r>
  </w:p>
  <w:p w14:paraId="1E9D114A" w14:textId="77777777" w:rsidR="009B7383" w:rsidRPr="009B7383" w:rsidRDefault="009B7383" w:rsidP="0040444B">
    <w:pPr>
      <w:rPr>
        <w:rFonts w:ascii="Franklin Gothic Book" w:hAnsi="Franklin Gothic Book"/>
        <w:color w:val="595959" w:themeColor="text1" w:themeTint="A6"/>
        <w:sz w:val="18"/>
        <w:szCs w:val="18"/>
      </w:rPr>
    </w:pPr>
    <w:r w:rsidRPr="00BE3E93">
      <w:rPr>
        <w:rFonts w:ascii="Franklin Gothic Book" w:hAnsi="Franklin Gothic Book"/>
        <w:color w:val="595959" w:themeColor="text1" w:themeTint="A6"/>
        <w:sz w:val="18"/>
        <w:szCs w:val="18"/>
      </w:rPr>
      <w:t xml:space="preserve">Association </w:t>
    </w:r>
    <w:r>
      <w:rPr>
        <w:rFonts w:ascii="Franklin Gothic Book" w:hAnsi="Franklin Gothic Book"/>
        <w:color w:val="595959" w:themeColor="text1" w:themeTint="A6"/>
        <w:sz w:val="18"/>
        <w:szCs w:val="18"/>
      </w:rPr>
      <w:t>of Public Health Laboratories</w:t>
    </w:r>
    <w:r>
      <w:rPr>
        <w:rFonts w:ascii="Franklin Gothic Book" w:hAnsi="Franklin Gothic Book"/>
        <w:color w:val="595959" w:themeColor="text1" w:themeTint="A6"/>
        <w:sz w:val="18"/>
        <w:szCs w:val="18"/>
      </w:rPr>
      <w:br/>
    </w:r>
    <w:r w:rsidRPr="00BE3E93">
      <w:rPr>
        <w:rFonts w:ascii="Franklin Gothic Book" w:hAnsi="Franklin Gothic Book"/>
        <w:color w:val="595959" w:themeColor="text1" w:themeTint="A6"/>
        <w:sz w:val="18"/>
        <w:szCs w:val="18"/>
      </w:rPr>
      <w:t xml:space="preserve">8515 Georgia Avenue, Suite </w:t>
    </w:r>
    <w:proofErr w:type="gramStart"/>
    <w:r w:rsidRPr="00BE3E93">
      <w:rPr>
        <w:rFonts w:ascii="Franklin Gothic Book" w:hAnsi="Franklin Gothic Book"/>
        <w:color w:val="595959" w:themeColor="text1" w:themeTint="A6"/>
        <w:sz w:val="18"/>
        <w:szCs w:val="18"/>
      </w:rPr>
      <w:t>700  |</w:t>
    </w:r>
    <w:proofErr w:type="gramEnd"/>
    <w:r w:rsidRPr="00BE3E93">
      <w:rPr>
        <w:rFonts w:ascii="Franklin Gothic Book" w:hAnsi="Franklin Gothic Book"/>
        <w:color w:val="595959" w:themeColor="text1" w:themeTint="A6"/>
        <w:sz w:val="18"/>
        <w:szCs w:val="18"/>
      </w:rPr>
      <w:t xml:space="preserve">  Silver Spring, MD 20910  |  240.485.2745  |  www.aphl.org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D1143" w14:textId="77777777" w:rsidR="00CC5E7F" w:rsidRDefault="00CC5E7F" w:rsidP="003F78C9">
      <w:pPr>
        <w:spacing w:after="0" w:line="240" w:lineRule="auto"/>
      </w:pPr>
      <w:r>
        <w:separator/>
      </w:r>
    </w:p>
  </w:footnote>
  <w:footnote w:type="continuationSeparator" w:id="0">
    <w:p w14:paraId="1E9D1144" w14:textId="77777777" w:rsidR="00CC5E7F" w:rsidRDefault="00CC5E7F" w:rsidP="003F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1147" w14:textId="77777777" w:rsidR="00CC5E7F" w:rsidRDefault="00A81D8F" w:rsidP="00A81D8F">
    <w:pPr>
      <w:pStyle w:val="Header"/>
      <w:ind w:left="-360"/>
    </w:pPr>
    <w:r>
      <w:rPr>
        <w:noProof/>
        <w:vertAlign w:val="subscript"/>
      </w:rPr>
      <w:drawing>
        <wp:inline distT="0" distB="0" distL="0" distR="0" wp14:anchorId="1E9D114B" wp14:editId="1E9D114C">
          <wp:extent cx="3621850" cy="765544"/>
          <wp:effectExtent l="0" t="0" r="0" b="0"/>
          <wp:docPr id="2" name="Picture 2" descr="S:\MARKETING\Projects\Logos and Identities\NewSTEPs Cobranding\NewSTEPs_Logo_Electronic_Long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Projects\Logos and Identities\NewSTEPs Cobranding\NewSTEPs_Logo_Electronic_Long_Hi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681" cy="76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D1148" w14:textId="77777777" w:rsidR="00CC5E7F" w:rsidRDefault="00CC5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E2A"/>
    <w:multiLevelType w:val="hybridMultilevel"/>
    <w:tmpl w:val="1C5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3F86"/>
    <w:multiLevelType w:val="hybridMultilevel"/>
    <w:tmpl w:val="C624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F0B81"/>
    <w:multiLevelType w:val="hybridMultilevel"/>
    <w:tmpl w:val="015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9"/>
    <w:rsid w:val="003871A9"/>
    <w:rsid w:val="003F78C9"/>
    <w:rsid w:val="0040444B"/>
    <w:rsid w:val="00433477"/>
    <w:rsid w:val="00441950"/>
    <w:rsid w:val="00530C33"/>
    <w:rsid w:val="00565963"/>
    <w:rsid w:val="006651E9"/>
    <w:rsid w:val="006679CA"/>
    <w:rsid w:val="00912328"/>
    <w:rsid w:val="00963434"/>
    <w:rsid w:val="009B1866"/>
    <w:rsid w:val="009B7383"/>
    <w:rsid w:val="00A1159B"/>
    <w:rsid w:val="00A44FAA"/>
    <w:rsid w:val="00A65A80"/>
    <w:rsid w:val="00A81D8F"/>
    <w:rsid w:val="00AE094B"/>
    <w:rsid w:val="00B06F1F"/>
    <w:rsid w:val="00B20E6F"/>
    <w:rsid w:val="00BE3E93"/>
    <w:rsid w:val="00BE6ADF"/>
    <w:rsid w:val="00C374FA"/>
    <w:rsid w:val="00CC5E7F"/>
    <w:rsid w:val="00CD3A75"/>
    <w:rsid w:val="00D345F3"/>
    <w:rsid w:val="00E201A5"/>
    <w:rsid w:val="00E35B71"/>
    <w:rsid w:val="00E35D3D"/>
    <w:rsid w:val="00E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112D"/>
  <w15:docId w15:val="{CCC2A450-2762-43C9-9D75-7AC5FCB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E3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C9"/>
  </w:style>
  <w:style w:type="paragraph" w:styleId="Footer">
    <w:name w:val="footer"/>
    <w:basedOn w:val="Normal"/>
    <w:link w:val="FooterChar"/>
    <w:uiPriority w:val="99"/>
    <w:unhideWhenUsed/>
    <w:rsid w:val="003F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C9"/>
  </w:style>
  <w:style w:type="paragraph" w:styleId="NoSpacing">
    <w:name w:val="No Spacing"/>
    <w:uiPriority w:val="1"/>
    <w:qFormat/>
    <w:rsid w:val="009B738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E35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E3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A7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9E867052DD14F979BD96F73E01475" ma:contentTypeVersion="1" ma:contentTypeDescription="Create a new document." ma:contentTypeScope="" ma:versionID="81766940a5105676188331e0367b15c3">
  <xsd:schema xmlns:xsd="http://www.w3.org/2001/XMLSchema" xmlns:xs="http://www.w3.org/2001/XMLSchema" xmlns:p="http://schemas.microsoft.com/office/2006/metadata/properties" xmlns:ns2="5af08be3-da31-4ed0-bd15-c2f68cc29029" xmlns:ns3="b221bda3-c221-4706-9eda-a1054e73b11d" targetNamespace="http://schemas.microsoft.com/office/2006/metadata/properties" ma:root="true" ma:fieldsID="f603f4e7bf464617f4a47426210840b9" ns2:_="" ns3:_="">
    <xsd:import namespace="5af08be3-da31-4ed0-bd15-c2f68cc29029"/>
    <xsd:import namespace="b221bda3-c221-4706-9eda-a1054e73b11d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_dlc_DocId" minOccurs="0"/>
                <xsd:element ref="ns2:_dlc_DocIdUrl" minOccurs="0"/>
                <xsd:element ref="ns2:_dlc_DocIdPersistId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8be3-da31-4ed0-bd15-c2f68cc29029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1bda3-c221-4706-9eda-a1054e73b11d" elementFormDefault="qualified">
    <xsd:import namespace="http://schemas.microsoft.com/office/2006/documentManagement/types"/>
    <xsd:import namespace="http://schemas.microsoft.com/office/infopath/2007/PartnerControls"/>
    <xsd:element name="DocType" ma:index="12" nillable="true" ma:displayName="Document Description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5af08be3-da31-4ed0-bd15-c2f68cc29029" xsi:nil="true"/>
    <_dlc_DocId xmlns="5af08be3-da31-4ed0-bd15-c2f68cc29029">Q77AU6S3KYZS-2789-67</_dlc_DocId>
    <_dlc_DocIdUrl xmlns="5af08be3-da31-4ed0-bd15-c2f68cc29029">
      <Url>https://www.aphlweb.org/aphl_departments/NBSGPH/Projects/nwstps/_layouts/DocIdRedir.aspx?ID=Q77AU6S3KYZS-2789-67</Url>
      <Description>Q77AU6S3KYZS-2789-67</Description>
    </_dlc_DocIdUrl>
    <DocType xmlns="b221bda3-c221-4706-9eda-a1054e73b11d">Logo</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ED2F-1282-4E45-992F-63E080FCD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DEFE1-1238-4950-8FA4-411DCDC47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08be3-da31-4ed0-bd15-c2f68cc29029"/>
    <ds:schemaRef ds:uri="b221bda3-c221-4706-9eda-a1054e73b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EC342-C593-4F57-BF0A-DF5CCCD5CE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D9366D-7106-4257-A7A2-21B16321FA7C}">
  <ds:schemaRefs>
    <ds:schemaRef ds:uri="http://purl.org/dc/elements/1.1/"/>
    <ds:schemaRef ds:uri="http://schemas.microsoft.com/office/2006/metadata/properties"/>
    <ds:schemaRef ds:uri="5af08be3-da31-4ed0-bd15-c2f68cc29029"/>
    <ds:schemaRef ds:uri="http://purl.org/dc/terms/"/>
    <ds:schemaRef ds:uri="b221bda3-c221-4706-9eda-a1054e73b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4F6C5A0-0C75-4806-A455-4E66D8A3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Public Health Laboratories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Moyer, Ben | APHL</dc:creator>
  <cp:lastModifiedBy>Yusuf, Careema | APHL</cp:lastModifiedBy>
  <cp:revision>7</cp:revision>
  <cp:lastPrinted>2013-02-01T21:56:00Z</cp:lastPrinted>
  <dcterms:created xsi:type="dcterms:W3CDTF">2016-12-20T19:22:00Z</dcterms:created>
  <dcterms:modified xsi:type="dcterms:W3CDTF">2016-12-20T20:53:00Z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0x010100BE69E867052DD14F979BD96F73E01475</vt:lpwstr>
  </property>
  <property fmtid="{D5CDD505-2E9C-101B-9397-08002B2CF9AE}" pid="3" name="_dlc_DocIdItemGuid">
    <vt:lpwstr>94f8501c-7a08-4aa6-9968-8df920fd6949</vt:lpwstr>
  </property>
  <property fmtid="{D5CDD505-2E9C-101B-9397-08002B2CF9AE}" pid="4" name="vti_description">
    <vt:lpwstr/>
  </property>
  <property fmtid="{D5CDD505-2E9C-101B-9397-08002B2CF9AE}" pid="5" name="Description0">
    <vt:lpwstr>Logo</vt:lpwstr>
  </property>
  <property fmtid="{D5CDD505-2E9C-101B-9397-08002B2CF9AE}" pid="6" name="Order">
    <vt:r8>6700</vt:r8>
  </property>
</Properties>
</file>