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AF11" w14:textId="77777777" w:rsidR="00B45E3A" w:rsidRDefault="00CA4B57">
      <w:r>
        <w:t>User story for immunizations</w:t>
      </w:r>
    </w:p>
    <w:p w14:paraId="20E5C04C" w14:textId="797FAB9D" w:rsidR="00180C0A" w:rsidRPr="001F3F6A" w:rsidRDefault="00CA4B57">
      <w:pPr>
        <w:rPr>
          <w:rFonts w:ascii="Times New Roman" w:hAnsi="Times New Roman" w:cs="Times New Roman"/>
        </w:rPr>
      </w:pPr>
      <w:r w:rsidRPr="001F3F6A">
        <w:rPr>
          <w:rFonts w:ascii="Times New Roman" w:hAnsi="Times New Roman" w:cs="Times New Roman"/>
        </w:rPr>
        <w:t>Joe, a 30 y</w:t>
      </w:r>
      <w:r w:rsidR="00180C0A" w:rsidRPr="001F3F6A">
        <w:rPr>
          <w:rFonts w:ascii="Times New Roman" w:hAnsi="Times New Roman" w:cs="Times New Roman"/>
        </w:rPr>
        <w:t xml:space="preserve">ear </w:t>
      </w:r>
      <w:r w:rsidRPr="001F3F6A">
        <w:rPr>
          <w:rFonts w:ascii="Times New Roman" w:hAnsi="Times New Roman" w:cs="Times New Roman"/>
        </w:rPr>
        <w:t>o</w:t>
      </w:r>
      <w:r w:rsidR="00180C0A" w:rsidRPr="001F3F6A">
        <w:rPr>
          <w:rFonts w:ascii="Times New Roman" w:hAnsi="Times New Roman" w:cs="Times New Roman"/>
        </w:rPr>
        <w:t>ld</w:t>
      </w:r>
      <w:r w:rsidRPr="001F3F6A">
        <w:rPr>
          <w:rFonts w:ascii="Times New Roman" w:hAnsi="Times New Roman" w:cs="Times New Roman"/>
        </w:rPr>
        <w:t xml:space="preserve"> male</w:t>
      </w:r>
      <w:r w:rsidR="008C3300" w:rsidRPr="001F3F6A">
        <w:rPr>
          <w:rFonts w:ascii="Times New Roman" w:hAnsi="Times New Roman" w:cs="Times New Roman"/>
        </w:rPr>
        <w:t>,</w:t>
      </w:r>
      <w:r w:rsidRPr="001F3F6A">
        <w:rPr>
          <w:rFonts w:ascii="Times New Roman" w:hAnsi="Times New Roman" w:cs="Times New Roman"/>
        </w:rPr>
        <w:t xml:space="preserve"> works </w:t>
      </w:r>
      <w:r w:rsidR="008C3300" w:rsidRPr="001F3F6A">
        <w:rPr>
          <w:rFonts w:ascii="Times New Roman" w:hAnsi="Times New Roman" w:cs="Times New Roman"/>
        </w:rPr>
        <w:t xml:space="preserve">as a full-time cashier </w:t>
      </w:r>
      <w:r w:rsidRPr="001F3F6A">
        <w:rPr>
          <w:rFonts w:ascii="Times New Roman" w:hAnsi="Times New Roman" w:cs="Times New Roman"/>
        </w:rPr>
        <w:t xml:space="preserve">at a large </w:t>
      </w:r>
      <w:r w:rsidR="008C3300" w:rsidRPr="001F3F6A">
        <w:rPr>
          <w:rFonts w:ascii="Times New Roman" w:hAnsi="Times New Roman" w:cs="Times New Roman"/>
        </w:rPr>
        <w:t xml:space="preserve">and busy </w:t>
      </w:r>
      <w:r w:rsidRPr="001F3F6A">
        <w:rPr>
          <w:rFonts w:ascii="Times New Roman" w:hAnsi="Times New Roman" w:cs="Times New Roman"/>
        </w:rPr>
        <w:t>g</w:t>
      </w:r>
      <w:r w:rsidR="008C3300" w:rsidRPr="001F3F6A">
        <w:rPr>
          <w:rFonts w:ascii="Times New Roman" w:hAnsi="Times New Roman" w:cs="Times New Roman"/>
        </w:rPr>
        <w:t xml:space="preserve">rocery store. In October, he went to the doctor for </w:t>
      </w:r>
      <w:r w:rsidR="00F06EA4" w:rsidRPr="001F3F6A">
        <w:rPr>
          <w:rFonts w:ascii="Times New Roman" w:hAnsi="Times New Roman" w:cs="Times New Roman"/>
        </w:rPr>
        <w:t>ankle pain</w:t>
      </w:r>
      <w:r w:rsidR="008B7DB3" w:rsidRPr="001F3F6A">
        <w:rPr>
          <w:rFonts w:ascii="Times New Roman" w:hAnsi="Times New Roman" w:cs="Times New Roman"/>
        </w:rPr>
        <w:t xml:space="preserve">. </w:t>
      </w:r>
      <w:r w:rsidR="008C3300" w:rsidRPr="001F3F6A">
        <w:rPr>
          <w:rFonts w:ascii="Times New Roman" w:hAnsi="Times New Roman" w:cs="Times New Roman"/>
        </w:rPr>
        <w:t xml:space="preserve"> While his </w:t>
      </w:r>
      <w:r w:rsidR="00C32CAA" w:rsidRPr="001F3F6A">
        <w:rPr>
          <w:rFonts w:ascii="Times New Roman" w:hAnsi="Times New Roman" w:cs="Times New Roman"/>
        </w:rPr>
        <w:t xml:space="preserve">current symptoms were recorded and his </w:t>
      </w:r>
      <w:r w:rsidR="008C3300" w:rsidRPr="001F3F6A">
        <w:rPr>
          <w:rFonts w:ascii="Times New Roman" w:hAnsi="Times New Roman" w:cs="Times New Roman"/>
        </w:rPr>
        <w:t xml:space="preserve">medical history </w:t>
      </w:r>
      <w:r w:rsidR="00AA0ECB" w:rsidRPr="001F3F6A">
        <w:rPr>
          <w:rFonts w:ascii="Times New Roman" w:hAnsi="Times New Roman" w:cs="Times New Roman"/>
        </w:rPr>
        <w:t>reviewed in the EHR</w:t>
      </w:r>
      <w:r w:rsidR="008C3300" w:rsidRPr="001F3F6A">
        <w:rPr>
          <w:rFonts w:ascii="Times New Roman" w:hAnsi="Times New Roman" w:cs="Times New Roman"/>
        </w:rPr>
        <w:t xml:space="preserve">, </w:t>
      </w:r>
      <w:r w:rsidR="006C6955" w:rsidRPr="001F3F6A">
        <w:rPr>
          <w:rFonts w:ascii="Times New Roman" w:hAnsi="Times New Roman" w:cs="Times New Roman"/>
        </w:rPr>
        <w:t>a pop-up reminder noted</w:t>
      </w:r>
      <w:r w:rsidR="008C3300" w:rsidRPr="001F3F6A">
        <w:rPr>
          <w:rFonts w:ascii="Times New Roman" w:hAnsi="Times New Roman" w:cs="Times New Roman"/>
        </w:rPr>
        <w:t xml:space="preserve"> that Joe had not </w:t>
      </w:r>
      <w:r w:rsidR="006C6955" w:rsidRPr="001F3F6A">
        <w:rPr>
          <w:rFonts w:ascii="Times New Roman" w:hAnsi="Times New Roman" w:cs="Times New Roman"/>
        </w:rPr>
        <w:t xml:space="preserve">yet </w:t>
      </w:r>
      <w:r w:rsidR="008C3300" w:rsidRPr="001F3F6A">
        <w:rPr>
          <w:rFonts w:ascii="Times New Roman" w:hAnsi="Times New Roman" w:cs="Times New Roman"/>
        </w:rPr>
        <w:t>received his influenza vaccine for the upcoming flu season</w:t>
      </w:r>
      <w:r w:rsidR="00C32CAA" w:rsidRPr="001F3F6A">
        <w:rPr>
          <w:rFonts w:ascii="Times New Roman" w:hAnsi="Times New Roman" w:cs="Times New Roman"/>
        </w:rPr>
        <w:t xml:space="preserve">. The pop-up reminder also </w:t>
      </w:r>
      <w:r w:rsidR="006C6955" w:rsidRPr="001F3F6A">
        <w:rPr>
          <w:rFonts w:ascii="Times New Roman" w:hAnsi="Times New Roman" w:cs="Times New Roman"/>
        </w:rPr>
        <w:t>provided information from the Advisory Committee on Immunization Practices (ACIP) recommending that everyone over the age of 6 months receive an annual influenza immunization</w:t>
      </w:r>
      <w:r w:rsidR="003E5849" w:rsidRPr="001F3F6A">
        <w:rPr>
          <w:rFonts w:ascii="Times New Roman" w:hAnsi="Times New Roman" w:cs="Times New Roman"/>
        </w:rPr>
        <w:t>.</w:t>
      </w:r>
      <w:r w:rsidR="008C3300" w:rsidRPr="001F3F6A">
        <w:rPr>
          <w:rFonts w:ascii="Times New Roman" w:hAnsi="Times New Roman" w:cs="Times New Roman"/>
        </w:rPr>
        <w:t xml:space="preserve"> Joe </w:t>
      </w:r>
      <w:r w:rsidR="00C32CAA" w:rsidRPr="001F3F6A">
        <w:rPr>
          <w:rFonts w:ascii="Times New Roman" w:hAnsi="Times New Roman" w:cs="Times New Roman"/>
        </w:rPr>
        <w:t>had not thought flu vaccination was necessary because</w:t>
      </w:r>
      <w:r w:rsidR="008C3300" w:rsidRPr="001F3F6A">
        <w:rPr>
          <w:rFonts w:ascii="Times New Roman" w:hAnsi="Times New Roman" w:cs="Times New Roman"/>
        </w:rPr>
        <w:t xml:space="preserve"> he was young and not at high risk for complications of flu. </w:t>
      </w:r>
      <w:r w:rsidR="0018090F" w:rsidRPr="001F3F6A">
        <w:rPr>
          <w:rFonts w:ascii="Times New Roman" w:hAnsi="Times New Roman" w:cs="Times New Roman"/>
        </w:rPr>
        <w:t xml:space="preserve">However, </w:t>
      </w:r>
      <w:r w:rsidR="00C32CAA" w:rsidRPr="001F3F6A">
        <w:rPr>
          <w:rFonts w:ascii="Times New Roman" w:hAnsi="Times New Roman" w:cs="Times New Roman"/>
        </w:rPr>
        <w:t>his doctor</w:t>
      </w:r>
      <w:r w:rsidR="00AC4A9B" w:rsidRPr="001F3F6A">
        <w:rPr>
          <w:rFonts w:ascii="Times New Roman" w:hAnsi="Times New Roman" w:cs="Times New Roman"/>
        </w:rPr>
        <w:t>, after noting Joe’s job,</w:t>
      </w:r>
      <w:r w:rsidR="00C32CAA" w:rsidRPr="001F3F6A">
        <w:rPr>
          <w:rFonts w:ascii="Times New Roman" w:hAnsi="Times New Roman" w:cs="Times New Roman"/>
        </w:rPr>
        <w:t xml:space="preserve"> explained that </w:t>
      </w:r>
      <w:r w:rsidR="0018090F" w:rsidRPr="001F3F6A">
        <w:rPr>
          <w:rFonts w:ascii="Times New Roman" w:hAnsi="Times New Roman" w:cs="Times New Roman"/>
        </w:rPr>
        <w:t>his job</w:t>
      </w:r>
      <w:r w:rsidR="00C32CAA" w:rsidRPr="001F3F6A">
        <w:rPr>
          <w:rFonts w:ascii="Times New Roman" w:hAnsi="Times New Roman" w:cs="Times New Roman"/>
        </w:rPr>
        <w:t xml:space="preserve"> increased</w:t>
      </w:r>
      <w:r w:rsidR="0018090F" w:rsidRPr="001F3F6A">
        <w:rPr>
          <w:rFonts w:ascii="Times New Roman" w:hAnsi="Times New Roman" w:cs="Times New Roman"/>
        </w:rPr>
        <w:t xml:space="preserve"> h</w:t>
      </w:r>
      <w:r w:rsidR="00C32CAA" w:rsidRPr="001F3F6A">
        <w:rPr>
          <w:rFonts w:ascii="Times New Roman" w:hAnsi="Times New Roman" w:cs="Times New Roman"/>
        </w:rPr>
        <w:t>is risk for flu because he worked</w:t>
      </w:r>
      <w:r w:rsidR="0018090F" w:rsidRPr="001F3F6A">
        <w:rPr>
          <w:rFonts w:ascii="Times New Roman" w:hAnsi="Times New Roman" w:cs="Times New Roman"/>
        </w:rPr>
        <w:t xml:space="preserve"> with the public</w:t>
      </w:r>
      <w:r w:rsidR="00C32CAA" w:rsidRPr="001F3F6A">
        <w:rPr>
          <w:rFonts w:ascii="Times New Roman" w:hAnsi="Times New Roman" w:cs="Times New Roman"/>
        </w:rPr>
        <w:t>, and as a result, Joe agreed to be vaccinated</w:t>
      </w:r>
      <w:r w:rsidR="0018090F" w:rsidRPr="001F3F6A">
        <w:rPr>
          <w:rFonts w:ascii="Times New Roman" w:hAnsi="Times New Roman" w:cs="Times New Roman"/>
        </w:rPr>
        <w:t xml:space="preserve">. </w:t>
      </w:r>
    </w:p>
    <w:p w14:paraId="290EE207" w14:textId="6B6215D5" w:rsidR="006E7B15" w:rsidRPr="001F3F6A" w:rsidRDefault="006E7B15">
      <w:pPr>
        <w:rPr>
          <w:rFonts w:ascii="Times New Roman" w:hAnsi="Times New Roman" w:cs="Times New Roman"/>
        </w:rPr>
      </w:pPr>
      <w:r w:rsidRPr="001F3F6A">
        <w:rPr>
          <w:rFonts w:ascii="Times New Roman" w:hAnsi="Times New Roman" w:cs="Times New Roman"/>
        </w:rPr>
        <w:t>Rebecca, a 45 y</w:t>
      </w:r>
      <w:r w:rsidR="00180C0A" w:rsidRPr="001F3F6A">
        <w:rPr>
          <w:rFonts w:ascii="Times New Roman" w:hAnsi="Times New Roman" w:cs="Times New Roman"/>
        </w:rPr>
        <w:t xml:space="preserve">ear </w:t>
      </w:r>
      <w:r w:rsidRPr="001F3F6A">
        <w:rPr>
          <w:rFonts w:ascii="Times New Roman" w:hAnsi="Times New Roman" w:cs="Times New Roman"/>
        </w:rPr>
        <w:t>o</w:t>
      </w:r>
      <w:r w:rsidR="00180C0A" w:rsidRPr="001F3F6A">
        <w:rPr>
          <w:rFonts w:ascii="Times New Roman" w:hAnsi="Times New Roman" w:cs="Times New Roman"/>
        </w:rPr>
        <w:t>ld</w:t>
      </w:r>
      <w:r w:rsidRPr="001F3F6A">
        <w:rPr>
          <w:rFonts w:ascii="Times New Roman" w:hAnsi="Times New Roman" w:cs="Times New Roman"/>
        </w:rPr>
        <w:t xml:space="preserve"> female,</w:t>
      </w:r>
      <w:r w:rsidR="00AC4A9B" w:rsidRPr="001F3F6A">
        <w:rPr>
          <w:rFonts w:ascii="Times New Roman" w:hAnsi="Times New Roman" w:cs="Times New Roman"/>
        </w:rPr>
        <w:t xml:space="preserve"> scheduled </w:t>
      </w:r>
      <w:r w:rsidR="0065556E" w:rsidRPr="001F3F6A">
        <w:rPr>
          <w:rFonts w:ascii="Times New Roman" w:hAnsi="Times New Roman" w:cs="Times New Roman"/>
        </w:rPr>
        <w:t xml:space="preserve">an appointment with her new PCP. </w:t>
      </w:r>
      <w:r w:rsidR="00AC4A9B" w:rsidRPr="001F3F6A">
        <w:rPr>
          <w:rFonts w:ascii="Times New Roman" w:hAnsi="Times New Roman" w:cs="Times New Roman"/>
        </w:rPr>
        <w:t xml:space="preserve"> On her new patient intake form she filled in her current job</w:t>
      </w:r>
      <w:r w:rsidR="0065556E" w:rsidRPr="001F3F6A">
        <w:rPr>
          <w:rFonts w:ascii="Times New Roman" w:hAnsi="Times New Roman" w:cs="Times New Roman"/>
        </w:rPr>
        <w:t>:</w:t>
      </w:r>
      <w:r w:rsidR="00757AC8" w:rsidRPr="001F3F6A">
        <w:rPr>
          <w:rFonts w:ascii="Times New Roman" w:hAnsi="Times New Roman" w:cs="Times New Roman"/>
        </w:rPr>
        <w:t xml:space="preserve"> </w:t>
      </w:r>
      <w:r w:rsidRPr="001F3F6A">
        <w:rPr>
          <w:rFonts w:ascii="Times New Roman" w:hAnsi="Times New Roman" w:cs="Times New Roman"/>
        </w:rPr>
        <w:t>design</w:t>
      </w:r>
      <w:r w:rsidR="00AC4A9B" w:rsidRPr="001F3F6A">
        <w:rPr>
          <w:rFonts w:ascii="Times New Roman" w:hAnsi="Times New Roman" w:cs="Times New Roman"/>
        </w:rPr>
        <w:t>ing</w:t>
      </w:r>
      <w:r w:rsidRPr="001F3F6A">
        <w:rPr>
          <w:rFonts w:ascii="Times New Roman" w:hAnsi="Times New Roman" w:cs="Times New Roman"/>
        </w:rPr>
        <w:t xml:space="preserve"> </w:t>
      </w:r>
      <w:r w:rsidR="0018090F" w:rsidRPr="001F3F6A">
        <w:rPr>
          <w:rFonts w:ascii="Times New Roman" w:hAnsi="Times New Roman" w:cs="Times New Roman"/>
        </w:rPr>
        <w:t>and build</w:t>
      </w:r>
      <w:r w:rsidR="00AC4A9B" w:rsidRPr="001F3F6A">
        <w:rPr>
          <w:rFonts w:ascii="Times New Roman" w:hAnsi="Times New Roman" w:cs="Times New Roman"/>
        </w:rPr>
        <w:t>ing</w:t>
      </w:r>
      <w:r w:rsidR="0018090F" w:rsidRPr="001F3F6A">
        <w:rPr>
          <w:rFonts w:ascii="Times New Roman" w:hAnsi="Times New Roman" w:cs="Times New Roman"/>
        </w:rPr>
        <w:t xml:space="preserve"> </w:t>
      </w:r>
      <w:r w:rsidRPr="001F3F6A">
        <w:rPr>
          <w:rFonts w:ascii="Times New Roman" w:hAnsi="Times New Roman" w:cs="Times New Roman"/>
        </w:rPr>
        <w:t xml:space="preserve">landscapes. During her </w:t>
      </w:r>
      <w:r w:rsidR="00AC4A9B" w:rsidRPr="001F3F6A">
        <w:rPr>
          <w:rFonts w:ascii="Times New Roman" w:hAnsi="Times New Roman" w:cs="Times New Roman"/>
        </w:rPr>
        <w:t>appointment</w:t>
      </w:r>
      <w:r w:rsidRPr="001F3F6A">
        <w:rPr>
          <w:rFonts w:ascii="Times New Roman" w:hAnsi="Times New Roman" w:cs="Times New Roman"/>
        </w:rPr>
        <w:t xml:space="preserve">, her physician </w:t>
      </w:r>
      <w:r w:rsidR="006C6955" w:rsidRPr="001F3F6A">
        <w:rPr>
          <w:rFonts w:ascii="Times New Roman" w:hAnsi="Times New Roman" w:cs="Times New Roman"/>
        </w:rPr>
        <w:t>reviewed her immunization records</w:t>
      </w:r>
      <w:r w:rsidR="0065556E" w:rsidRPr="001F3F6A">
        <w:rPr>
          <w:rFonts w:ascii="Times New Roman" w:hAnsi="Times New Roman" w:cs="Times New Roman"/>
        </w:rPr>
        <w:t xml:space="preserve"> and </w:t>
      </w:r>
      <w:r w:rsidRPr="001F3F6A">
        <w:rPr>
          <w:rFonts w:ascii="Times New Roman" w:hAnsi="Times New Roman" w:cs="Times New Roman"/>
        </w:rPr>
        <w:t xml:space="preserve">noted that Rebecca </w:t>
      </w:r>
      <w:r w:rsidR="0091756C" w:rsidRPr="001F3F6A">
        <w:rPr>
          <w:rFonts w:ascii="Times New Roman" w:hAnsi="Times New Roman" w:cs="Times New Roman"/>
        </w:rPr>
        <w:t xml:space="preserve">received her last </w:t>
      </w:r>
      <w:r w:rsidRPr="001F3F6A">
        <w:rPr>
          <w:rFonts w:ascii="Times New Roman" w:hAnsi="Times New Roman" w:cs="Times New Roman"/>
        </w:rPr>
        <w:t xml:space="preserve">tetanus vaccine </w:t>
      </w:r>
      <w:r w:rsidR="003E5849" w:rsidRPr="001F3F6A">
        <w:rPr>
          <w:rFonts w:ascii="Times New Roman" w:hAnsi="Times New Roman" w:cs="Times New Roman"/>
        </w:rPr>
        <w:t>about</w:t>
      </w:r>
      <w:r w:rsidRPr="001F3F6A">
        <w:rPr>
          <w:rFonts w:ascii="Times New Roman" w:hAnsi="Times New Roman" w:cs="Times New Roman"/>
        </w:rPr>
        <w:t xml:space="preserve"> </w:t>
      </w:r>
      <w:r w:rsidR="00AA0ECB" w:rsidRPr="001F3F6A">
        <w:rPr>
          <w:rFonts w:ascii="Times New Roman" w:hAnsi="Times New Roman" w:cs="Times New Roman"/>
        </w:rPr>
        <w:t>12 years ago</w:t>
      </w:r>
      <w:r w:rsidR="006C6955" w:rsidRPr="001F3F6A">
        <w:rPr>
          <w:rFonts w:ascii="Times New Roman" w:hAnsi="Times New Roman" w:cs="Times New Roman"/>
        </w:rPr>
        <w:t>,</w:t>
      </w:r>
      <w:r w:rsidR="00AA0ECB" w:rsidRPr="001F3F6A">
        <w:rPr>
          <w:rFonts w:ascii="Times New Roman" w:hAnsi="Times New Roman" w:cs="Times New Roman"/>
        </w:rPr>
        <w:t xml:space="preserve"> </w:t>
      </w:r>
      <w:r w:rsidRPr="001F3F6A">
        <w:rPr>
          <w:rFonts w:ascii="Times New Roman" w:hAnsi="Times New Roman" w:cs="Times New Roman"/>
        </w:rPr>
        <w:t>and said that it was particularly important</w:t>
      </w:r>
      <w:r w:rsidR="00853D51" w:rsidRPr="001F3F6A">
        <w:rPr>
          <w:rFonts w:ascii="Times New Roman" w:hAnsi="Times New Roman" w:cs="Times New Roman"/>
        </w:rPr>
        <w:t xml:space="preserve"> to keep her tetanus vaccine current</w:t>
      </w:r>
      <w:r w:rsidRPr="001F3F6A">
        <w:rPr>
          <w:rFonts w:ascii="Times New Roman" w:hAnsi="Times New Roman" w:cs="Times New Roman"/>
        </w:rPr>
        <w:t xml:space="preserve"> because of</w:t>
      </w:r>
      <w:r w:rsidR="00853D51" w:rsidRPr="001F3F6A">
        <w:rPr>
          <w:rFonts w:ascii="Times New Roman" w:hAnsi="Times New Roman" w:cs="Times New Roman"/>
        </w:rPr>
        <w:t xml:space="preserve"> her</w:t>
      </w:r>
      <w:r w:rsidRPr="001F3F6A">
        <w:rPr>
          <w:rFonts w:ascii="Times New Roman" w:hAnsi="Times New Roman" w:cs="Times New Roman"/>
        </w:rPr>
        <w:t xml:space="preserve"> line of work</w:t>
      </w:r>
      <w:r w:rsidR="00853D51" w:rsidRPr="001F3F6A">
        <w:rPr>
          <w:rFonts w:ascii="Times New Roman" w:hAnsi="Times New Roman" w:cs="Times New Roman"/>
        </w:rPr>
        <w:t xml:space="preserve">. </w:t>
      </w:r>
      <w:r w:rsidR="001F3F6A">
        <w:rPr>
          <w:rFonts w:ascii="Times New Roman" w:hAnsi="Times New Roman" w:cs="Times New Roman"/>
        </w:rPr>
        <w:t>(</w:t>
      </w:r>
      <w:r w:rsidR="00B7261B" w:rsidRPr="001F3F6A">
        <w:rPr>
          <w:rFonts w:ascii="Times New Roman" w:hAnsi="Times New Roman" w:cs="Times New Roman"/>
        </w:rPr>
        <w:t xml:space="preserve">Rebecca works with sharp </w:t>
      </w:r>
      <w:r w:rsidR="00121DD1" w:rsidRPr="001F3F6A">
        <w:rPr>
          <w:rFonts w:ascii="Times New Roman" w:hAnsi="Times New Roman" w:cs="Times New Roman"/>
        </w:rPr>
        <w:t>tools that put her at high risk for puncture or open wound injuries</w:t>
      </w:r>
      <w:r w:rsidR="00757AC8" w:rsidRPr="001F3F6A">
        <w:rPr>
          <w:rFonts w:ascii="Times New Roman" w:hAnsi="Times New Roman" w:cs="Times New Roman"/>
        </w:rPr>
        <w:t xml:space="preserve">; </w:t>
      </w:r>
      <w:r w:rsidR="00B7261B" w:rsidRPr="001F3F6A">
        <w:rPr>
          <w:rFonts w:ascii="Times New Roman" w:hAnsi="Times New Roman" w:cs="Times New Roman"/>
        </w:rPr>
        <w:t xml:space="preserve">soil </w:t>
      </w:r>
      <w:r w:rsidR="001D48A0" w:rsidRPr="001F3F6A">
        <w:rPr>
          <w:rFonts w:ascii="Times New Roman" w:hAnsi="Times New Roman" w:cs="Times New Roman"/>
        </w:rPr>
        <w:t xml:space="preserve">can </w:t>
      </w:r>
      <w:r w:rsidR="00B7261B" w:rsidRPr="001F3F6A">
        <w:rPr>
          <w:rFonts w:ascii="Times New Roman" w:hAnsi="Times New Roman" w:cs="Times New Roman"/>
        </w:rPr>
        <w:t xml:space="preserve">contain </w:t>
      </w:r>
      <w:r w:rsidR="001D48A0" w:rsidRPr="001F3F6A">
        <w:rPr>
          <w:rFonts w:ascii="Times New Roman" w:hAnsi="Times New Roman" w:cs="Times New Roman"/>
        </w:rPr>
        <w:t>spores of tetanus bacteria</w:t>
      </w:r>
      <w:r w:rsidR="001F3F6A">
        <w:rPr>
          <w:rFonts w:ascii="Times New Roman" w:hAnsi="Times New Roman" w:cs="Times New Roman"/>
        </w:rPr>
        <w:t>)</w:t>
      </w:r>
      <w:r w:rsidR="00B7261B" w:rsidRPr="001F3F6A">
        <w:rPr>
          <w:rFonts w:ascii="Times New Roman" w:hAnsi="Times New Roman" w:cs="Times New Roman"/>
        </w:rPr>
        <w:t xml:space="preserve">. CDC recommends adults receive </w:t>
      </w:r>
      <w:r w:rsidR="00180C0A" w:rsidRPr="001F3F6A">
        <w:rPr>
          <w:rFonts w:ascii="Times New Roman" w:hAnsi="Times New Roman" w:cs="Times New Roman"/>
        </w:rPr>
        <w:t>a tetanus booster</w:t>
      </w:r>
      <w:r w:rsidR="00B7261B" w:rsidRPr="001F3F6A">
        <w:rPr>
          <w:rFonts w:ascii="Times New Roman" w:hAnsi="Times New Roman" w:cs="Times New Roman"/>
        </w:rPr>
        <w:t xml:space="preserve"> every 10 years.</w:t>
      </w:r>
      <w:r w:rsidR="00180C0A" w:rsidRPr="001F3F6A">
        <w:rPr>
          <w:rFonts w:ascii="Times New Roman" w:hAnsi="Times New Roman" w:cs="Times New Roman"/>
        </w:rPr>
        <w:t xml:space="preserve"> The doctor, </w:t>
      </w:r>
      <w:r w:rsidR="0091756C" w:rsidRPr="001F3F6A">
        <w:rPr>
          <w:rFonts w:ascii="Times New Roman" w:hAnsi="Times New Roman" w:cs="Times New Roman"/>
        </w:rPr>
        <w:t>recommended</w:t>
      </w:r>
      <w:r w:rsidR="008B7DB3" w:rsidRPr="001F3F6A">
        <w:rPr>
          <w:rFonts w:ascii="Times New Roman" w:hAnsi="Times New Roman" w:cs="Times New Roman"/>
        </w:rPr>
        <w:t xml:space="preserve"> </w:t>
      </w:r>
      <w:proofErr w:type="spellStart"/>
      <w:r w:rsidR="00180C0A" w:rsidRPr="001F3F6A">
        <w:rPr>
          <w:rFonts w:ascii="Times New Roman" w:hAnsi="Times New Roman" w:cs="Times New Roman"/>
        </w:rPr>
        <w:t>Tdap</w:t>
      </w:r>
      <w:proofErr w:type="spellEnd"/>
      <w:r w:rsidR="0091756C" w:rsidRPr="001F3F6A">
        <w:rPr>
          <w:rFonts w:ascii="Times New Roman" w:hAnsi="Times New Roman" w:cs="Times New Roman"/>
        </w:rPr>
        <w:t xml:space="preserve">, containing both tetanus and pertussis vaccines, given the resurgence in pertussis and because Rebecca had not previously received the </w:t>
      </w:r>
      <w:proofErr w:type="spellStart"/>
      <w:r w:rsidR="0091756C" w:rsidRPr="001F3F6A">
        <w:rPr>
          <w:rFonts w:ascii="Times New Roman" w:hAnsi="Times New Roman" w:cs="Times New Roman"/>
        </w:rPr>
        <w:t>Tdap</w:t>
      </w:r>
      <w:proofErr w:type="spellEnd"/>
      <w:r w:rsidR="00180C0A" w:rsidRPr="001F3F6A">
        <w:rPr>
          <w:rFonts w:ascii="Times New Roman" w:hAnsi="Times New Roman" w:cs="Times New Roman"/>
        </w:rPr>
        <w:t>.</w:t>
      </w:r>
    </w:p>
    <w:p w14:paraId="3B01E5C8" w14:textId="768BDC01" w:rsidR="00180C0A" w:rsidRPr="001F3F6A" w:rsidRDefault="00B7261B" w:rsidP="00180C0A">
      <w:pPr>
        <w:rPr>
          <w:rFonts w:ascii="Times New Roman" w:hAnsi="Times New Roman" w:cs="Times New Roman"/>
        </w:rPr>
      </w:pPr>
      <w:r w:rsidRPr="001F3F6A">
        <w:rPr>
          <w:rFonts w:ascii="Times New Roman" w:hAnsi="Times New Roman" w:cs="Times New Roman"/>
        </w:rPr>
        <w:t>Phillip</w:t>
      </w:r>
      <w:r w:rsidR="00597728" w:rsidRPr="001F3F6A">
        <w:rPr>
          <w:rFonts w:ascii="Times New Roman" w:hAnsi="Times New Roman" w:cs="Times New Roman"/>
        </w:rPr>
        <w:t>, age 25</w:t>
      </w:r>
      <w:r w:rsidR="00121DD1" w:rsidRPr="001F3F6A">
        <w:rPr>
          <w:rFonts w:ascii="Times New Roman" w:hAnsi="Times New Roman" w:cs="Times New Roman"/>
        </w:rPr>
        <w:t xml:space="preserve"> year old male</w:t>
      </w:r>
      <w:r w:rsidR="00597728" w:rsidRPr="001F3F6A">
        <w:rPr>
          <w:rFonts w:ascii="Times New Roman" w:hAnsi="Times New Roman" w:cs="Times New Roman"/>
        </w:rPr>
        <w:t xml:space="preserve">, </w:t>
      </w:r>
      <w:r w:rsidRPr="001F3F6A">
        <w:rPr>
          <w:rFonts w:ascii="Times New Roman" w:hAnsi="Times New Roman" w:cs="Times New Roman"/>
        </w:rPr>
        <w:t xml:space="preserve">works </w:t>
      </w:r>
      <w:r w:rsidR="00121DD1" w:rsidRPr="001F3F6A">
        <w:rPr>
          <w:rFonts w:ascii="Times New Roman" w:hAnsi="Times New Roman" w:cs="Times New Roman"/>
        </w:rPr>
        <w:t xml:space="preserve">as a teaching aide </w:t>
      </w:r>
      <w:r w:rsidRPr="001F3F6A">
        <w:rPr>
          <w:rFonts w:ascii="Times New Roman" w:hAnsi="Times New Roman" w:cs="Times New Roman"/>
        </w:rPr>
        <w:t>at a child care service caring for children age</w:t>
      </w:r>
      <w:r w:rsidR="005B4B81" w:rsidRPr="001F3F6A">
        <w:rPr>
          <w:rFonts w:ascii="Times New Roman" w:hAnsi="Times New Roman" w:cs="Times New Roman"/>
        </w:rPr>
        <w:t>d</w:t>
      </w:r>
      <w:r w:rsidRPr="001F3F6A">
        <w:rPr>
          <w:rFonts w:ascii="Times New Roman" w:hAnsi="Times New Roman" w:cs="Times New Roman"/>
        </w:rPr>
        <w:t xml:space="preserve"> 6 months to 10 years. In this position, he may be exposed to many </w:t>
      </w:r>
      <w:r w:rsidR="0091756C" w:rsidRPr="001F3F6A">
        <w:rPr>
          <w:rFonts w:ascii="Times New Roman" w:hAnsi="Times New Roman" w:cs="Times New Roman"/>
        </w:rPr>
        <w:t xml:space="preserve">vaccine preventable </w:t>
      </w:r>
      <w:r w:rsidRPr="001F3F6A">
        <w:rPr>
          <w:rFonts w:ascii="Times New Roman" w:hAnsi="Times New Roman" w:cs="Times New Roman"/>
        </w:rPr>
        <w:t>childhood illnesses, including mumps, measles, rubella, c</w:t>
      </w:r>
      <w:r w:rsidR="00C10E0A" w:rsidRPr="001F3F6A">
        <w:rPr>
          <w:rFonts w:ascii="Times New Roman" w:hAnsi="Times New Roman" w:cs="Times New Roman"/>
        </w:rPr>
        <w:t xml:space="preserve">hickenpox, pertussis, </w:t>
      </w:r>
      <w:r w:rsidR="0022480E" w:rsidRPr="001F3F6A">
        <w:rPr>
          <w:rFonts w:ascii="Times New Roman" w:hAnsi="Times New Roman" w:cs="Times New Roman"/>
        </w:rPr>
        <w:t xml:space="preserve">and </w:t>
      </w:r>
      <w:r w:rsidR="00C10E0A" w:rsidRPr="001F3F6A">
        <w:rPr>
          <w:rFonts w:ascii="Times New Roman" w:hAnsi="Times New Roman" w:cs="Times New Roman"/>
        </w:rPr>
        <w:t>diphtheria</w:t>
      </w:r>
      <w:r w:rsidRPr="001F3F6A">
        <w:rPr>
          <w:rFonts w:ascii="Times New Roman" w:hAnsi="Times New Roman" w:cs="Times New Roman"/>
        </w:rPr>
        <w:t xml:space="preserve">. While severe outbreaks of many of these conditions are rare in the US, they still occur. </w:t>
      </w:r>
      <w:r w:rsidR="00D607E8" w:rsidRPr="001F3F6A">
        <w:rPr>
          <w:rFonts w:ascii="Times New Roman" w:hAnsi="Times New Roman" w:cs="Times New Roman"/>
        </w:rPr>
        <w:t xml:space="preserve">Upon learning </w:t>
      </w:r>
      <w:r w:rsidRPr="001F3F6A">
        <w:rPr>
          <w:rFonts w:ascii="Times New Roman" w:hAnsi="Times New Roman" w:cs="Times New Roman"/>
        </w:rPr>
        <w:t xml:space="preserve">his profession, Phillip’s doctor reviewed </w:t>
      </w:r>
      <w:r w:rsidR="005B4B81" w:rsidRPr="001F3F6A">
        <w:rPr>
          <w:rFonts w:ascii="Times New Roman" w:hAnsi="Times New Roman" w:cs="Times New Roman"/>
        </w:rPr>
        <w:t xml:space="preserve">his </w:t>
      </w:r>
      <w:r w:rsidR="00C10E0A" w:rsidRPr="001F3F6A">
        <w:rPr>
          <w:rFonts w:ascii="Times New Roman" w:hAnsi="Times New Roman" w:cs="Times New Roman"/>
        </w:rPr>
        <w:t>immunization history</w:t>
      </w:r>
      <w:r w:rsidR="005B4B81" w:rsidRPr="001F3F6A">
        <w:rPr>
          <w:rFonts w:ascii="Times New Roman" w:hAnsi="Times New Roman" w:cs="Times New Roman"/>
        </w:rPr>
        <w:t xml:space="preserve"> in the EHR, used the EHR to pull up and review CDC immunization recommendations,</w:t>
      </w:r>
      <w:r w:rsidR="00D607E8" w:rsidRPr="001F3F6A">
        <w:rPr>
          <w:rFonts w:ascii="Times New Roman" w:hAnsi="Times New Roman" w:cs="Times New Roman"/>
        </w:rPr>
        <w:t xml:space="preserve"> and</w:t>
      </w:r>
      <w:r w:rsidR="00180C0A" w:rsidRPr="001F3F6A">
        <w:rPr>
          <w:rFonts w:ascii="Times New Roman" w:hAnsi="Times New Roman" w:cs="Times New Roman"/>
        </w:rPr>
        <w:t xml:space="preserve"> noted that </w:t>
      </w:r>
      <w:r w:rsidR="00486643" w:rsidRPr="001F3F6A">
        <w:rPr>
          <w:rFonts w:ascii="Times New Roman" w:hAnsi="Times New Roman" w:cs="Times New Roman"/>
        </w:rPr>
        <w:t xml:space="preserve">Phillip </w:t>
      </w:r>
      <w:r w:rsidR="00180C0A" w:rsidRPr="001F3F6A">
        <w:rPr>
          <w:rFonts w:ascii="Times New Roman" w:hAnsi="Times New Roman" w:cs="Times New Roman"/>
        </w:rPr>
        <w:t xml:space="preserve">had </w:t>
      </w:r>
      <w:r w:rsidR="00486643" w:rsidRPr="001F3F6A">
        <w:rPr>
          <w:rFonts w:ascii="Times New Roman" w:hAnsi="Times New Roman" w:cs="Times New Roman"/>
        </w:rPr>
        <w:t>received the Td vaccine 5 years ago.</w:t>
      </w:r>
      <w:r w:rsidR="00180C0A" w:rsidRPr="001F3F6A">
        <w:rPr>
          <w:rFonts w:ascii="Times New Roman" w:hAnsi="Times New Roman" w:cs="Times New Roman"/>
        </w:rPr>
        <w:t xml:space="preserve"> </w:t>
      </w:r>
      <w:r w:rsidR="00486643" w:rsidRPr="001F3F6A">
        <w:rPr>
          <w:rFonts w:ascii="Times New Roman" w:hAnsi="Times New Roman" w:cs="Times New Roman"/>
        </w:rPr>
        <w:t>G</w:t>
      </w:r>
      <w:r w:rsidR="00180C0A" w:rsidRPr="001F3F6A">
        <w:rPr>
          <w:rFonts w:ascii="Times New Roman" w:hAnsi="Times New Roman" w:cs="Times New Roman"/>
        </w:rPr>
        <w:t xml:space="preserve">iven the resurgence in pertussis, the doctor recommended the </w:t>
      </w:r>
      <w:proofErr w:type="spellStart"/>
      <w:r w:rsidR="00180C0A" w:rsidRPr="001F3F6A">
        <w:rPr>
          <w:rFonts w:ascii="Times New Roman" w:hAnsi="Times New Roman" w:cs="Times New Roman"/>
        </w:rPr>
        <w:t>Tdap</w:t>
      </w:r>
      <w:proofErr w:type="spellEnd"/>
      <w:r w:rsidR="00180C0A" w:rsidRPr="001F3F6A">
        <w:rPr>
          <w:rFonts w:ascii="Times New Roman" w:hAnsi="Times New Roman" w:cs="Times New Roman"/>
        </w:rPr>
        <w:t>.  Because Phillip works with children</w:t>
      </w:r>
      <w:r w:rsidR="0022480E" w:rsidRPr="001F3F6A">
        <w:rPr>
          <w:rFonts w:ascii="Times New Roman" w:hAnsi="Times New Roman" w:cs="Times New Roman"/>
        </w:rPr>
        <w:t>,</w:t>
      </w:r>
      <w:r w:rsidR="00180C0A" w:rsidRPr="001F3F6A">
        <w:rPr>
          <w:rFonts w:ascii="Times New Roman" w:hAnsi="Times New Roman" w:cs="Times New Roman"/>
        </w:rPr>
        <w:t xml:space="preserve"> </w:t>
      </w:r>
      <w:r w:rsidR="00E91A30" w:rsidRPr="001F3F6A">
        <w:rPr>
          <w:rFonts w:ascii="Times New Roman" w:hAnsi="Times New Roman" w:cs="Times New Roman"/>
        </w:rPr>
        <w:t xml:space="preserve">CDC </w:t>
      </w:r>
      <w:r w:rsidR="00D607E8" w:rsidRPr="001F3F6A">
        <w:rPr>
          <w:rFonts w:ascii="Times New Roman" w:hAnsi="Times New Roman" w:cs="Times New Roman"/>
        </w:rPr>
        <w:t xml:space="preserve">also </w:t>
      </w:r>
      <w:r w:rsidR="00E91A30" w:rsidRPr="001F3F6A">
        <w:rPr>
          <w:rFonts w:ascii="Times New Roman" w:hAnsi="Times New Roman" w:cs="Times New Roman"/>
        </w:rPr>
        <w:t>recommends</w:t>
      </w:r>
      <w:r w:rsidR="00180C0A" w:rsidRPr="001F3F6A">
        <w:rPr>
          <w:rFonts w:ascii="Times New Roman" w:hAnsi="Times New Roman" w:cs="Times New Roman"/>
        </w:rPr>
        <w:t xml:space="preserve"> </w:t>
      </w:r>
      <w:r w:rsidR="00C10E0A" w:rsidRPr="001F3F6A">
        <w:rPr>
          <w:rFonts w:ascii="Times New Roman" w:hAnsi="Times New Roman" w:cs="Times New Roman"/>
        </w:rPr>
        <w:t>varicella</w:t>
      </w:r>
      <w:r w:rsidR="00E91A30" w:rsidRPr="001F3F6A">
        <w:rPr>
          <w:rFonts w:ascii="Times New Roman" w:hAnsi="Times New Roman" w:cs="Times New Roman"/>
        </w:rPr>
        <w:t xml:space="preserve"> and MMR</w:t>
      </w:r>
      <w:r w:rsidR="003E5849" w:rsidRPr="001F3F6A">
        <w:rPr>
          <w:rFonts w:ascii="Times New Roman" w:hAnsi="Times New Roman" w:cs="Times New Roman"/>
        </w:rPr>
        <w:t xml:space="preserve"> (mumps, measles and rubella)</w:t>
      </w:r>
      <w:r w:rsidR="00E91A30" w:rsidRPr="001F3F6A">
        <w:rPr>
          <w:rFonts w:ascii="Times New Roman" w:hAnsi="Times New Roman" w:cs="Times New Roman"/>
        </w:rPr>
        <w:t xml:space="preserve"> </w:t>
      </w:r>
      <w:r w:rsidR="00D607E8" w:rsidRPr="001F3F6A">
        <w:rPr>
          <w:rFonts w:ascii="Times New Roman" w:hAnsi="Times New Roman" w:cs="Times New Roman"/>
        </w:rPr>
        <w:t xml:space="preserve">immunizations </w:t>
      </w:r>
      <w:r w:rsidR="00E91A30" w:rsidRPr="001F3F6A">
        <w:rPr>
          <w:rFonts w:ascii="Times New Roman" w:hAnsi="Times New Roman" w:cs="Times New Roman"/>
        </w:rPr>
        <w:t xml:space="preserve">for adults </w:t>
      </w:r>
      <w:r w:rsidR="0022480E" w:rsidRPr="001F3F6A">
        <w:rPr>
          <w:rFonts w:ascii="Times New Roman" w:hAnsi="Times New Roman" w:cs="Times New Roman"/>
        </w:rPr>
        <w:t xml:space="preserve">aged </w:t>
      </w:r>
      <w:r w:rsidR="00D607E8" w:rsidRPr="001F3F6A">
        <w:rPr>
          <w:rFonts w:ascii="Times New Roman" w:hAnsi="Times New Roman" w:cs="Times New Roman"/>
        </w:rPr>
        <w:t>≥</w:t>
      </w:r>
      <w:r w:rsidR="00E91A30" w:rsidRPr="001F3F6A">
        <w:rPr>
          <w:rFonts w:ascii="Times New Roman" w:hAnsi="Times New Roman" w:cs="Times New Roman"/>
        </w:rPr>
        <w:t xml:space="preserve">19 years without evidence of immunity.  </w:t>
      </w:r>
      <w:r w:rsidR="00C10E0A" w:rsidRPr="001F3F6A">
        <w:rPr>
          <w:rFonts w:ascii="Times New Roman" w:hAnsi="Times New Roman" w:cs="Times New Roman"/>
        </w:rPr>
        <w:t xml:space="preserve"> Because there was no record of vaccination</w:t>
      </w:r>
      <w:r w:rsidR="00E91A30" w:rsidRPr="001F3F6A">
        <w:rPr>
          <w:rFonts w:ascii="Times New Roman" w:hAnsi="Times New Roman" w:cs="Times New Roman"/>
        </w:rPr>
        <w:t xml:space="preserve"> in the EHR</w:t>
      </w:r>
      <w:r w:rsidR="00C10E0A" w:rsidRPr="001F3F6A">
        <w:rPr>
          <w:rFonts w:ascii="Times New Roman" w:hAnsi="Times New Roman" w:cs="Times New Roman"/>
        </w:rPr>
        <w:t>, titers were measured</w:t>
      </w:r>
      <w:r w:rsidR="00E91A30" w:rsidRPr="001F3F6A">
        <w:rPr>
          <w:rFonts w:ascii="Times New Roman" w:hAnsi="Times New Roman" w:cs="Times New Roman"/>
        </w:rPr>
        <w:t xml:space="preserve"> both</w:t>
      </w:r>
      <w:r w:rsidR="00C10E0A" w:rsidRPr="001F3F6A">
        <w:rPr>
          <w:rFonts w:ascii="Times New Roman" w:hAnsi="Times New Roman" w:cs="Times New Roman"/>
        </w:rPr>
        <w:t xml:space="preserve"> for MMR</w:t>
      </w:r>
      <w:r w:rsidR="00E91A30" w:rsidRPr="001F3F6A">
        <w:rPr>
          <w:rFonts w:ascii="Times New Roman" w:hAnsi="Times New Roman" w:cs="Times New Roman"/>
        </w:rPr>
        <w:t xml:space="preserve"> and varicella</w:t>
      </w:r>
      <w:r w:rsidR="00C10E0A" w:rsidRPr="001F3F6A">
        <w:rPr>
          <w:rFonts w:ascii="Times New Roman" w:hAnsi="Times New Roman" w:cs="Times New Roman"/>
        </w:rPr>
        <w:t xml:space="preserve">.  </w:t>
      </w:r>
    </w:p>
    <w:p w14:paraId="52D90F2F" w14:textId="1A48DEDA" w:rsidR="00C10E0A" w:rsidRPr="001F3F6A" w:rsidRDefault="00C10E0A">
      <w:pPr>
        <w:rPr>
          <w:rFonts w:ascii="Times New Roman" w:hAnsi="Times New Roman" w:cs="Times New Roman"/>
        </w:rPr>
      </w:pPr>
      <w:proofErr w:type="spellStart"/>
      <w:r w:rsidRPr="001F3F6A">
        <w:rPr>
          <w:rFonts w:ascii="Times New Roman" w:hAnsi="Times New Roman" w:cs="Times New Roman"/>
        </w:rPr>
        <w:t>Hilery</w:t>
      </w:r>
      <w:proofErr w:type="spellEnd"/>
      <w:r w:rsidRPr="001F3F6A">
        <w:rPr>
          <w:rFonts w:ascii="Times New Roman" w:hAnsi="Times New Roman" w:cs="Times New Roman"/>
        </w:rPr>
        <w:t xml:space="preserve"> </w:t>
      </w:r>
      <w:r w:rsidR="00705018" w:rsidRPr="001F3F6A">
        <w:rPr>
          <w:rFonts w:ascii="Times New Roman" w:hAnsi="Times New Roman" w:cs="Times New Roman"/>
        </w:rPr>
        <w:t>is a</w:t>
      </w:r>
      <w:r w:rsidRPr="001F3F6A">
        <w:rPr>
          <w:rFonts w:ascii="Times New Roman" w:hAnsi="Times New Roman" w:cs="Times New Roman"/>
        </w:rPr>
        <w:t xml:space="preserve"> nurse practi</w:t>
      </w:r>
      <w:r w:rsidR="006119AB" w:rsidRPr="001F3F6A">
        <w:rPr>
          <w:rFonts w:ascii="Times New Roman" w:hAnsi="Times New Roman" w:cs="Times New Roman"/>
        </w:rPr>
        <w:t>ti</w:t>
      </w:r>
      <w:r w:rsidRPr="001F3F6A">
        <w:rPr>
          <w:rFonts w:ascii="Times New Roman" w:hAnsi="Times New Roman" w:cs="Times New Roman"/>
        </w:rPr>
        <w:t xml:space="preserve">oner in </w:t>
      </w:r>
      <w:r w:rsidR="00705018" w:rsidRPr="001F3F6A">
        <w:rPr>
          <w:rFonts w:ascii="Times New Roman" w:hAnsi="Times New Roman" w:cs="Times New Roman"/>
        </w:rPr>
        <w:t xml:space="preserve">a hospital clinic </w:t>
      </w:r>
      <w:r w:rsidR="00B11463" w:rsidRPr="001F3F6A">
        <w:rPr>
          <w:rFonts w:ascii="Times New Roman" w:hAnsi="Times New Roman" w:cs="Times New Roman"/>
        </w:rPr>
        <w:t xml:space="preserve">and </w:t>
      </w:r>
      <w:r w:rsidR="00705018" w:rsidRPr="001F3F6A">
        <w:rPr>
          <w:rFonts w:ascii="Times New Roman" w:hAnsi="Times New Roman" w:cs="Times New Roman"/>
        </w:rPr>
        <w:t>moonlights as a hospice nurse</w:t>
      </w:r>
      <w:r w:rsidRPr="001F3F6A">
        <w:rPr>
          <w:rFonts w:ascii="Times New Roman" w:hAnsi="Times New Roman" w:cs="Times New Roman"/>
        </w:rPr>
        <w:t xml:space="preserve">. </w:t>
      </w:r>
      <w:r w:rsidR="00B11463" w:rsidRPr="001F3F6A">
        <w:rPr>
          <w:rFonts w:ascii="Times New Roman" w:hAnsi="Times New Roman" w:cs="Times New Roman"/>
        </w:rPr>
        <w:t xml:space="preserve">Because of </w:t>
      </w:r>
      <w:r w:rsidR="00705018" w:rsidRPr="001F3F6A">
        <w:rPr>
          <w:rFonts w:ascii="Times New Roman" w:hAnsi="Times New Roman" w:cs="Times New Roman"/>
        </w:rPr>
        <w:t>his</w:t>
      </w:r>
      <w:r w:rsidR="00B11463" w:rsidRPr="001F3F6A">
        <w:rPr>
          <w:rFonts w:ascii="Times New Roman" w:hAnsi="Times New Roman" w:cs="Times New Roman"/>
        </w:rPr>
        <w:t xml:space="preserve"> </w:t>
      </w:r>
      <w:r w:rsidR="00705018" w:rsidRPr="001F3F6A">
        <w:rPr>
          <w:rFonts w:ascii="Times New Roman" w:hAnsi="Times New Roman" w:cs="Times New Roman"/>
        </w:rPr>
        <w:t xml:space="preserve">potential </w:t>
      </w:r>
      <w:r w:rsidR="00B11463" w:rsidRPr="001F3F6A">
        <w:rPr>
          <w:rFonts w:ascii="Times New Roman" w:hAnsi="Times New Roman" w:cs="Times New Roman"/>
        </w:rPr>
        <w:t>contact with patients or infective material</w:t>
      </w:r>
      <w:r w:rsidR="0018090F" w:rsidRPr="001F3F6A">
        <w:rPr>
          <w:rFonts w:ascii="Times New Roman" w:hAnsi="Times New Roman" w:cs="Times New Roman"/>
        </w:rPr>
        <w:t xml:space="preserve"> placing him at risk for exposure to vaccine preventable diseases</w:t>
      </w:r>
      <w:r w:rsidR="00B11463" w:rsidRPr="001F3F6A">
        <w:rPr>
          <w:rFonts w:ascii="Times New Roman" w:hAnsi="Times New Roman" w:cs="Times New Roman"/>
        </w:rPr>
        <w:t>,</w:t>
      </w:r>
      <w:r w:rsidR="00A45C19" w:rsidRPr="001F3F6A">
        <w:rPr>
          <w:rFonts w:ascii="Times New Roman" w:hAnsi="Times New Roman" w:cs="Times New Roman"/>
        </w:rPr>
        <w:t xml:space="preserve"> </w:t>
      </w:r>
      <w:proofErr w:type="spellStart"/>
      <w:r w:rsidR="00705018" w:rsidRPr="001F3F6A">
        <w:rPr>
          <w:rFonts w:ascii="Times New Roman" w:hAnsi="Times New Roman" w:cs="Times New Roman"/>
        </w:rPr>
        <w:t>Hilery</w:t>
      </w:r>
      <w:proofErr w:type="spellEnd"/>
      <w:r w:rsidR="00705018" w:rsidRPr="001F3F6A">
        <w:rPr>
          <w:rFonts w:ascii="Times New Roman" w:hAnsi="Times New Roman" w:cs="Times New Roman"/>
        </w:rPr>
        <w:t xml:space="preserve"> asked his</w:t>
      </w:r>
      <w:r w:rsidR="00A45C19" w:rsidRPr="001F3F6A">
        <w:rPr>
          <w:rFonts w:ascii="Times New Roman" w:hAnsi="Times New Roman" w:cs="Times New Roman"/>
        </w:rPr>
        <w:t xml:space="preserve"> personal physician</w:t>
      </w:r>
      <w:r w:rsidR="00705018" w:rsidRPr="001F3F6A">
        <w:rPr>
          <w:rFonts w:ascii="Times New Roman" w:hAnsi="Times New Roman" w:cs="Times New Roman"/>
        </w:rPr>
        <w:t xml:space="preserve"> to</w:t>
      </w:r>
      <w:r w:rsidR="00E60B1D" w:rsidRPr="001F3F6A">
        <w:rPr>
          <w:rFonts w:ascii="Times New Roman" w:hAnsi="Times New Roman" w:cs="Times New Roman"/>
        </w:rPr>
        <w:t xml:space="preserve"> review</w:t>
      </w:r>
      <w:r w:rsidR="00A45C19" w:rsidRPr="001F3F6A">
        <w:rPr>
          <w:rFonts w:ascii="Times New Roman" w:hAnsi="Times New Roman" w:cs="Times New Roman"/>
        </w:rPr>
        <w:t xml:space="preserve"> </w:t>
      </w:r>
      <w:r w:rsidR="00705018" w:rsidRPr="001F3F6A">
        <w:rPr>
          <w:rFonts w:ascii="Times New Roman" w:hAnsi="Times New Roman" w:cs="Times New Roman"/>
        </w:rPr>
        <w:t xml:space="preserve">his </w:t>
      </w:r>
      <w:r w:rsidR="00A45C19" w:rsidRPr="001F3F6A">
        <w:rPr>
          <w:rFonts w:ascii="Times New Roman" w:hAnsi="Times New Roman" w:cs="Times New Roman"/>
        </w:rPr>
        <w:t xml:space="preserve">vaccination </w:t>
      </w:r>
      <w:r w:rsidR="00705018" w:rsidRPr="001F3F6A">
        <w:rPr>
          <w:rFonts w:ascii="Times New Roman" w:hAnsi="Times New Roman" w:cs="Times New Roman"/>
        </w:rPr>
        <w:t xml:space="preserve">history recorded in the </w:t>
      </w:r>
      <w:r w:rsidR="0018090F" w:rsidRPr="001F3F6A">
        <w:rPr>
          <w:rFonts w:ascii="Times New Roman" w:hAnsi="Times New Roman" w:cs="Times New Roman"/>
        </w:rPr>
        <w:t>EHR</w:t>
      </w:r>
      <w:r w:rsidR="00B11463" w:rsidRPr="001F3F6A">
        <w:rPr>
          <w:rFonts w:ascii="Times New Roman" w:hAnsi="Times New Roman" w:cs="Times New Roman"/>
        </w:rPr>
        <w:t>.</w:t>
      </w:r>
      <w:r w:rsidR="00E60B1D" w:rsidRPr="001F3F6A">
        <w:rPr>
          <w:rFonts w:ascii="Times New Roman" w:hAnsi="Times New Roman" w:cs="Times New Roman"/>
        </w:rPr>
        <w:t xml:space="preserve"> The EHR pulls up the </w:t>
      </w:r>
      <w:r w:rsidR="00B11463" w:rsidRPr="001F3F6A">
        <w:rPr>
          <w:rFonts w:ascii="Times New Roman" w:hAnsi="Times New Roman" w:cs="Times New Roman"/>
        </w:rPr>
        <w:t xml:space="preserve">CDC </w:t>
      </w:r>
      <w:r w:rsidR="00E91A30" w:rsidRPr="001F3F6A">
        <w:rPr>
          <w:rFonts w:ascii="Times New Roman" w:hAnsi="Times New Roman" w:cs="Times New Roman"/>
        </w:rPr>
        <w:t xml:space="preserve">and the </w:t>
      </w:r>
      <w:r w:rsidR="00E60B1D" w:rsidRPr="001F3F6A">
        <w:rPr>
          <w:rFonts w:ascii="Times New Roman" w:hAnsi="Times New Roman" w:cs="Times New Roman"/>
        </w:rPr>
        <w:t>Advisory Committee on Immunization Practices (ACIP) recommendations for immunization of healthcare workers. They</w:t>
      </w:r>
      <w:r w:rsidR="00A45C19" w:rsidRPr="001F3F6A">
        <w:rPr>
          <w:rFonts w:ascii="Times New Roman" w:hAnsi="Times New Roman" w:cs="Times New Roman"/>
        </w:rPr>
        <w:t xml:space="preserve"> </w:t>
      </w:r>
      <w:r w:rsidR="00E60B1D" w:rsidRPr="001F3F6A">
        <w:rPr>
          <w:rFonts w:ascii="Times New Roman" w:hAnsi="Times New Roman" w:cs="Times New Roman"/>
        </w:rPr>
        <w:t>recommend that</w:t>
      </w:r>
      <w:r w:rsidR="00B11463" w:rsidRPr="001F3F6A">
        <w:rPr>
          <w:rFonts w:ascii="Times New Roman" w:hAnsi="Times New Roman" w:cs="Times New Roman"/>
        </w:rPr>
        <w:t xml:space="preserve"> </w:t>
      </w:r>
      <w:r w:rsidR="004208AB" w:rsidRPr="001F3F6A">
        <w:rPr>
          <w:rFonts w:ascii="Times New Roman" w:hAnsi="Times New Roman" w:cs="Times New Roman"/>
        </w:rPr>
        <w:t>healthcare workers should be vaccinated for the following conditions</w:t>
      </w:r>
      <w:r w:rsidR="0018090F" w:rsidRPr="001F3F6A">
        <w:rPr>
          <w:rFonts w:ascii="Times New Roman" w:hAnsi="Times New Roman" w:cs="Times New Roman"/>
        </w:rPr>
        <w:t>:</w:t>
      </w:r>
      <w:r w:rsidR="004208AB" w:rsidRPr="001F3F6A">
        <w:rPr>
          <w:rFonts w:ascii="Times New Roman" w:hAnsi="Times New Roman" w:cs="Times New Roman"/>
        </w:rPr>
        <w:t xml:space="preserve"> Hepatitis B (particularly if there is no documented evidence of a completed </w:t>
      </w:r>
      <w:r w:rsidR="0022480E" w:rsidRPr="001F3F6A">
        <w:rPr>
          <w:rFonts w:ascii="Times New Roman" w:hAnsi="Times New Roman" w:cs="Times New Roman"/>
        </w:rPr>
        <w:t xml:space="preserve">Hepatitis </w:t>
      </w:r>
      <w:r w:rsidR="004208AB" w:rsidRPr="001F3F6A">
        <w:rPr>
          <w:rFonts w:ascii="Times New Roman" w:hAnsi="Times New Roman" w:cs="Times New Roman"/>
        </w:rPr>
        <w:t>B series or serologic evidence of immunity)</w:t>
      </w:r>
      <w:r w:rsidR="0018090F" w:rsidRPr="001F3F6A">
        <w:rPr>
          <w:rFonts w:ascii="Times New Roman" w:hAnsi="Times New Roman" w:cs="Times New Roman"/>
        </w:rPr>
        <w:t>;</w:t>
      </w:r>
      <w:r w:rsidR="004208AB" w:rsidRPr="001F3F6A">
        <w:rPr>
          <w:rFonts w:ascii="Times New Roman" w:hAnsi="Times New Roman" w:cs="Times New Roman"/>
        </w:rPr>
        <w:t xml:space="preserve"> influenza (annually); MMR – if born 1957 or later</w:t>
      </w:r>
      <w:r w:rsidR="00705018" w:rsidRPr="001F3F6A">
        <w:rPr>
          <w:rFonts w:ascii="Times New Roman" w:hAnsi="Times New Roman" w:cs="Times New Roman"/>
        </w:rPr>
        <w:t xml:space="preserve">; </w:t>
      </w:r>
      <w:r w:rsidR="0070071A" w:rsidRPr="001F3F6A">
        <w:rPr>
          <w:rFonts w:ascii="Times New Roman" w:hAnsi="Times New Roman" w:cs="Times New Roman"/>
        </w:rPr>
        <w:t xml:space="preserve">varicella </w:t>
      </w:r>
      <w:r w:rsidR="00705018" w:rsidRPr="001F3F6A">
        <w:rPr>
          <w:rFonts w:ascii="Times New Roman" w:hAnsi="Times New Roman" w:cs="Times New Roman"/>
        </w:rPr>
        <w:t xml:space="preserve">– if no </w:t>
      </w:r>
      <w:r w:rsidR="0018090F" w:rsidRPr="001F3F6A">
        <w:rPr>
          <w:rFonts w:ascii="Times New Roman" w:hAnsi="Times New Roman" w:cs="Times New Roman"/>
        </w:rPr>
        <w:t xml:space="preserve">titer or </w:t>
      </w:r>
      <w:r w:rsidR="00705018" w:rsidRPr="001F3F6A">
        <w:rPr>
          <w:rFonts w:ascii="Times New Roman" w:hAnsi="Times New Roman" w:cs="Times New Roman"/>
        </w:rPr>
        <w:t>histor</w:t>
      </w:r>
      <w:r w:rsidR="00E60B1D" w:rsidRPr="001F3F6A">
        <w:rPr>
          <w:rFonts w:ascii="Times New Roman" w:hAnsi="Times New Roman" w:cs="Times New Roman"/>
        </w:rPr>
        <w:t>y of the condition</w:t>
      </w:r>
      <w:r w:rsidR="003E5849" w:rsidRPr="001F3F6A">
        <w:rPr>
          <w:rFonts w:ascii="Times New Roman" w:hAnsi="Times New Roman" w:cs="Times New Roman"/>
        </w:rPr>
        <w:t>;</w:t>
      </w:r>
      <w:r w:rsidR="00E60B1D" w:rsidRPr="001F3F6A">
        <w:rPr>
          <w:rFonts w:ascii="Times New Roman" w:hAnsi="Times New Roman" w:cs="Times New Roman"/>
        </w:rPr>
        <w:t xml:space="preserve"> </w:t>
      </w:r>
      <w:proofErr w:type="spellStart"/>
      <w:r w:rsidR="00E60B1D" w:rsidRPr="001F3F6A">
        <w:rPr>
          <w:rFonts w:ascii="Times New Roman" w:hAnsi="Times New Roman" w:cs="Times New Roman"/>
        </w:rPr>
        <w:t>Tdap</w:t>
      </w:r>
      <w:proofErr w:type="spellEnd"/>
      <w:r w:rsidR="00E60B1D" w:rsidRPr="001F3F6A">
        <w:rPr>
          <w:rFonts w:ascii="Times New Roman" w:hAnsi="Times New Roman" w:cs="Times New Roman"/>
        </w:rPr>
        <w:t xml:space="preserve">; </w:t>
      </w:r>
      <w:r w:rsidR="003E5849" w:rsidRPr="001F3F6A">
        <w:rPr>
          <w:rFonts w:ascii="Times New Roman" w:hAnsi="Times New Roman" w:cs="Times New Roman"/>
        </w:rPr>
        <w:t>and</w:t>
      </w:r>
      <w:r w:rsidR="008B7DB3" w:rsidRPr="001F3F6A">
        <w:rPr>
          <w:rFonts w:ascii="Times New Roman" w:hAnsi="Times New Roman" w:cs="Times New Roman"/>
        </w:rPr>
        <w:t xml:space="preserve"> </w:t>
      </w:r>
      <w:r w:rsidR="00E60B1D" w:rsidRPr="001F3F6A">
        <w:rPr>
          <w:rFonts w:ascii="Times New Roman" w:hAnsi="Times New Roman" w:cs="Times New Roman"/>
        </w:rPr>
        <w:t>pneumococcal immunizations</w:t>
      </w:r>
      <w:r w:rsidR="0018090F" w:rsidRPr="001F3F6A">
        <w:rPr>
          <w:rFonts w:ascii="Times New Roman" w:hAnsi="Times New Roman" w:cs="Times New Roman"/>
        </w:rPr>
        <w:t xml:space="preserve"> if aged &gt;65 years</w:t>
      </w:r>
      <w:r w:rsidR="00E60B1D" w:rsidRPr="001F3F6A">
        <w:rPr>
          <w:rFonts w:ascii="Times New Roman" w:hAnsi="Times New Roman" w:cs="Times New Roman"/>
        </w:rPr>
        <w:t>.</w:t>
      </w:r>
      <w:r w:rsidR="0018090F" w:rsidRPr="001F3F6A">
        <w:rPr>
          <w:rFonts w:ascii="Times New Roman" w:hAnsi="Times New Roman" w:cs="Times New Roman"/>
        </w:rPr>
        <w:t xml:space="preserve"> T</w:t>
      </w:r>
      <w:r w:rsidR="00E60B1D" w:rsidRPr="001F3F6A">
        <w:rPr>
          <w:rFonts w:ascii="Times New Roman" w:hAnsi="Times New Roman" w:cs="Times New Roman"/>
        </w:rPr>
        <w:t xml:space="preserve">he EHR </w:t>
      </w:r>
      <w:r w:rsidR="0022480E" w:rsidRPr="001F3F6A">
        <w:rPr>
          <w:rFonts w:ascii="Times New Roman" w:hAnsi="Times New Roman" w:cs="Times New Roman"/>
        </w:rPr>
        <w:t>also provides</w:t>
      </w:r>
      <w:r w:rsidR="00E60B1D" w:rsidRPr="001F3F6A">
        <w:rPr>
          <w:rFonts w:ascii="Times New Roman" w:hAnsi="Times New Roman" w:cs="Times New Roman"/>
        </w:rPr>
        <w:t xml:space="preserve"> immunization requirements for the </w:t>
      </w:r>
      <w:r w:rsidR="00203CA0" w:rsidRPr="001F3F6A">
        <w:rPr>
          <w:rFonts w:ascii="Times New Roman" w:hAnsi="Times New Roman" w:cs="Times New Roman"/>
        </w:rPr>
        <w:t xml:space="preserve">state in which </w:t>
      </w:r>
      <w:proofErr w:type="spellStart"/>
      <w:r w:rsidR="00203CA0" w:rsidRPr="001F3F6A">
        <w:rPr>
          <w:rFonts w:ascii="Times New Roman" w:hAnsi="Times New Roman" w:cs="Times New Roman"/>
        </w:rPr>
        <w:t>Hilery</w:t>
      </w:r>
      <w:proofErr w:type="spellEnd"/>
      <w:r w:rsidR="00203CA0" w:rsidRPr="001F3F6A">
        <w:rPr>
          <w:rFonts w:ascii="Times New Roman" w:hAnsi="Times New Roman" w:cs="Times New Roman"/>
        </w:rPr>
        <w:t xml:space="preserve"> practices.</w:t>
      </w:r>
    </w:p>
    <w:p w14:paraId="6C285CA2" w14:textId="20E29CB0" w:rsidR="00203CA0" w:rsidRPr="001F3F6A" w:rsidRDefault="00203CA0" w:rsidP="003E5849">
      <w:pPr>
        <w:pStyle w:val="NormalWeb"/>
        <w:spacing w:after="160" w:line="259" w:lineRule="auto"/>
        <w:rPr>
          <w:color w:val="333333"/>
          <w:sz w:val="22"/>
          <w:szCs w:val="22"/>
        </w:rPr>
      </w:pPr>
      <w:r w:rsidRPr="001F3F6A">
        <w:rPr>
          <w:color w:val="333333"/>
          <w:sz w:val="22"/>
          <w:szCs w:val="22"/>
        </w:rPr>
        <w:t>Angela</w:t>
      </w:r>
      <w:r w:rsidR="00121DD1" w:rsidRPr="001F3F6A">
        <w:rPr>
          <w:color w:val="333333"/>
          <w:sz w:val="22"/>
          <w:szCs w:val="22"/>
        </w:rPr>
        <w:t>, a 32 ye</w:t>
      </w:r>
      <w:bookmarkStart w:id="0" w:name="_GoBack"/>
      <w:bookmarkEnd w:id="0"/>
      <w:r w:rsidR="00121DD1" w:rsidRPr="001F3F6A">
        <w:rPr>
          <w:color w:val="333333"/>
          <w:sz w:val="22"/>
          <w:szCs w:val="22"/>
        </w:rPr>
        <w:t>ar old female,</w:t>
      </w:r>
      <w:r w:rsidRPr="001F3F6A">
        <w:rPr>
          <w:color w:val="333333"/>
          <w:sz w:val="22"/>
          <w:szCs w:val="22"/>
        </w:rPr>
        <w:t xml:space="preserve"> recently started her position as a veterinary technician for </w:t>
      </w:r>
      <w:r w:rsidR="00D82273" w:rsidRPr="001F3F6A">
        <w:rPr>
          <w:color w:val="333333"/>
          <w:sz w:val="22"/>
          <w:szCs w:val="22"/>
        </w:rPr>
        <w:t>the</w:t>
      </w:r>
      <w:r w:rsidRPr="001F3F6A">
        <w:rPr>
          <w:color w:val="333333"/>
          <w:sz w:val="22"/>
          <w:szCs w:val="22"/>
        </w:rPr>
        <w:t xml:space="preserve"> state forest service. She lives in a rabies enzootic area (</w:t>
      </w:r>
      <w:r w:rsidR="0022480E" w:rsidRPr="001F3F6A">
        <w:rPr>
          <w:color w:val="333333"/>
          <w:sz w:val="22"/>
          <w:szCs w:val="22"/>
        </w:rPr>
        <w:t xml:space="preserve">i.e., </w:t>
      </w:r>
      <w:r w:rsidRPr="001F3F6A">
        <w:rPr>
          <w:color w:val="333333"/>
          <w:sz w:val="22"/>
          <w:szCs w:val="22"/>
        </w:rPr>
        <w:t>rabies occurs in the wildlife population in her region.</w:t>
      </w:r>
      <w:r w:rsidR="003E5849" w:rsidRPr="001F3F6A">
        <w:rPr>
          <w:color w:val="333333"/>
          <w:sz w:val="22"/>
          <w:szCs w:val="22"/>
        </w:rPr>
        <w:t>)</w:t>
      </w:r>
      <w:r w:rsidRPr="001F3F6A">
        <w:rPr>
          <w:color w:val="333333"/>
          <w:sz w:val="22"/>
          <w:szCs w:val="22"/>
        </w:rPr>
        <w:t xml:space="preserve"> In discussions with her physician about recommended immunizations</w:t>
      </w:r>
      <w:r w:rsidR="00017ED1" w:rsidRPr="001F3F6A">
        <w:rPr>
          <w:color w:val="333333"/>
          <w:sz w:val="22"/>
          <w:szCs w:val="22"/>
        </w:rPr>
        <w:t xml:space="preserve"> for her new position</w:t>
      </w:r>
      <w:r w:rsidRPr="001F3F6A">
        <w:rPr>
          <w:color w:val="333333"/>
          <w:sz w:val="22"/>
          <w:szCs w:val="22"/>
        </w:rPr>
        <w:t xml:space="preserve">, </w:t>
      </w:r>
      <w:r w:rsidR="004C00C5" w:rsidRPr="001F3F6A">
        <w:rPr>
          <w:color w:val="333333"/>
          <w:sz w:val="22"/>
          <w:szCs w:val="22"/>
        </w:rPr>
        <w:t xml:space="preserve">her physician </w:t>
      </w:r>
      <w:r w:rsidR="0022480E" w:rsidRPr="001F3F6A">
        <w:rPr>
          <w:color w:val="333333"/>
          <w:sz w:val="22"/>
          <w:szCs w:val="22"/>
        </w:rPr>
        <w:t>uses the EHR to pull up CDC and</w:t>
      </w:r>
      <w:r w:rsidR="0022480E" w:rsidRPr="001F3F6A">
        <w:rPr>
          <w:color w:val="333333"/>
          <w:sz w:val="21"/>
          <w:szCs w:val="21"/>
        </w:rPr>
        <w:t xml:space="preserve"> </w:t>
      </w:r>
      <w:r w:rsidR="0022480E" w:rsidRPr="001F3F6A">
        <w:rPr>
          <w:color w:val="333333"/>
          <w:sz w:val="22"/>
          <w:szCs w:val="22"/>
        </w:rPr>
        <w:t xml:space="preserve">Advisory Committee on Immunization Practices (ACIP) recommendations and </w:t>
      </w:r>
      <w:r w:rsidR="004C00C5" w:rsidRPr="001F3F6A">
        <w:rPr>
          <w:color w:val="333333"/>
          <w:sz w:val="22"/>
          <w:szCs w:val="22"/>
        </w:rPr>
        <w:t>note</w:t>
      </w:r>
      <w:r w:rsidR="0022480E" w:rsidRPr="001F3F6A">
        <w:rPr>
          <w:color w:val="333333"/>
          <w:sz w:val="22"/>
          <w:szCs w:val="22"/>
        </w:rPr>
        <w:t>s</w:t>
      </w:r>
      <w:r w:rsidR="004C00C5" w:rsidRPr="001F3F6A">
        <w:rPr>
          <w:color w:val="333333"/>
          <w:sz w:val="22"/>
          <w:szCs w:val="22"/>
        </w:rPr>
        <w:t xml:space="preserve"> that because Angela is in a high-risk job, CDC recommends pre</w:t>
      </w:r>
      <w:r w:rsidR="008B7DB3" w:rsidRPr="001F3F6A">
        <w:rPr>
          <w:color w:val="333333"/>
          <w:sz w:val="22"/>
          <w:szCs w:val="22"/>
        </w:rPr>
        <w:t>-</w:t>
      </w:r>
      <w:r w:rsidR="004C00C5" w:rsidRPr="001F3F6A">
        <w:rPr>
          <w:color w:val="333333"/>
          <w:sz w:val="22"/>
          <w:szCs w:val="22"/>
        </w:rPr>
        <w:t>exposure rabies vaccination.</w:t>
      </w:r>
      <w:r w:rsidRPr="001F3F6A">
        <w:rPr>
          <w:color w:val="333333"/>
          <w:sz w:val="22"/>
          <w:szCs w:val="22"/>
        </w:rPr>
        <w:t xml:space="preserve"> </w:t>
      </w:r>
      <w:r w:rsidR="0022480E" w:rsidRPr="001F3F6A">
        <w:rPr>
          <w:color w:val="333333"/>
          <w:sz w:val="22"/>
          <w:szCs w:val="22"/>
        </w:rPr>
        <w:t>These same recommendations also indicate the need for serum testing for rabies antibody every 2 years</w:t>
      </w:r>
      <w:r w:rsidR="005B4B81" w:rsidRPr="001F3F6A">
        <w:rPr>
          <w:color w:val="333333"/>
          <w:sz w:val="22"/>
          <w:szCs w:val="22"/>
        </w:rPr>
        <w:t>,</w:t>
      </w:r>
      <w:r w:rsidR="0022480E" w:rsidRPr="001F3F6A">
        <w:rPr>
          <w:color w:val="333333"/>
          <w:sz w:val="22"/>
          <w:szCs w:val="22"/>
        </w:rPr>
        <w:t xml:space="preserve"> and provide guidance on interpretation and follow-up of results. </w:t>
      </w:r>
      <w:r w:rsidR="00CD209D" w:rsidRPr="001F3F6A">
        <w:rPr>
          <w:color w:val="333333"/>
          <w:sz w:val="22"/>
          <w:szCs w:val="22"/>
        </w:rPr>
        <w:t xml:space="preserve">In addition, her </w:t>
      </w:r>
      <w:r w:rsidR="00CD209D" w:rsidRPr="001F3F6A">
        <w:rPr>
          <w:color w:val="333333"/>
          <w:sz w:val="22"/>
          <w:szCs w:val="22"/>
        </w:rPr>
        <w:lastRenderedPageBreak/>
        <w:t>physician note</w:t>
      </w:r>
      <w:r w:rsidR="0022480E" w:rsidRPr="001F3F6A">
        <w:rPr>
          <w:color w:val="333333"/>
          <w:sz w:val="22"/>
          <w:szCs w:val="22"/>
        </w:rPr>
        <w:t>s</w:t>
      </w:r>
      <w:r w:rsidR="00CD209D" w:rsidRPr="001F3F6A">
        <w:rPr>
          <w:color w:val="333333"/>
          <w:sz w:val="22"/>
          <w:szCs w:val="22"/>
        </w:rPr>
        <w:t xml:space="preserve"> that she </w:t>
      </w:r>
      <w:r w:rsidR="0022480E" w:rsidRPr="001F3F6A">
        <w:rPr>
          <w:color w:val="333333"/>
          <w:sz w:val="22"/>
          <w:szCs w:val="22"/>
        </w:rPr>
        <w:t>is</w:t>
      </w:r>
      <w:r w:rsidR="00CD209D" w:rsidRPr="001F3F6A">
        <w:rPr>
          <w:color w:val="333333"/>
          <w:sz w:val="22"/>
          <w:szCs w:val="22"/>
        </w:rPr>
        <w:t xml:space="preserve"> due for a </w:t>
      </w:r>
      <w:proofErr w:type="spellStart"/>
      <w:r w:rsidR="00CD209D" w:rsidRPr="001F3F6A">
        <w:rPr>
          <w:color w:val="333333"/>
          <w:sz w:val="22"/>
          <w:szCs w:val="22"/>
        </w:rPr>
        <w:t>Tdap</w:t>
      </w:r>
      <w:proofErr w:type="spellEnd"/>
      <w:r w:rsidR="00CD209D" w:rsidRPr="001F3F6A">
        <w:rPr>
          <w:color w:val="333333"/>
          <w:sz w:val="22"/>
          <w:szCs w:val="22"/>
        </w:rPr>
        <w:t xml:space="preserve"> booster</w:t>
      </w:r>
      <w:r w:rsidR="0022480E" w:rsidRPr="001F3F6A">
        <w:rPr>
          <w:color w:val="333333"/>
          <w:sz w:val="22"/>
          <w:szCs w:val="22"/>
        </w:rPr>
        <w:t>.</w:t>
      </w:r>
      <w:r w:rsidR="00CD209D" w:rsidRPr="001F3F6A">
        <w:rPr>
          <w:color w:val="333333"/>
          <w:sz w:val="22"/>
          <w:szCs w:val="22"/>
        </w:rPr>
        <w:t xml:space="preserve"> Given </w:t>
      </w:r>
      <w:r w:rsidR="0022480E" w:rsidRPr="001F3F6A">
        <w:rPr>
          <w:color w:val="333333"/>
          <w:sz w:val="22"/>
          <w:szCs w:val="22"/>
        </w:rPr>
        <w:t>her occupational exposure</w:t>
      </w:r>
      <w:r w:rsidR="00AA0ECB" w:rsidRPr="001F3F6A">
        <w:rPr>
          <w:color w:val="333333"/>
          <w:sz w:val="22"/>
          <w:szCs w:val="22"/>
        </w:rPr>
        <w:t xml:space="preserve"> </w:t>
      </w:r>
      <w:r w:rsidR="004C00C5" w:rsidRPr="001F3F6A">
        <w:rPr>
          <w:color w:val="333333"/>
          <w:sz w:val="22"/>
          <w:szCs w:val="22"/>
        </w:rPr>
        <w:t>to</w:t>
      </w:r>
      <w:r w:rsidR="00CD209D" w:rsidRPr="001F3F6A">
        <w:rPr>
          <w:color w:val="333333"/>
          <w:sz w:val="22"/>
          <w:szCs w:val="22"/>
        </w:rPr>
        <w:t xml:space="preserve"> soil</w:t>
      </w:r>
      <w:r w:rsidR="005B4B81" w:rsidRPr="001F3F6A">
        <w:rPr>
          <w:color w:val="333333"/>
          <w:sz w:val="22"/>
          <w:szCs w:val="22"/>
        </w:rPr>
        <w:t>,</w:t>
      </w:r>
      <w:r w:rsidR="00121DD1" w:rsidRPr="001F3F6A">
        <w:rPr>
          <w:color w:val="333333"/>
          <w:sz w:val="22"/>
          <w:szCs w:val="22"/>
        </w:rPr>
        <w:t xml:space="preserve"> </w:t>
      </w:r>
      <w:r w:rsidR="00CD209D" w:rsidRPr="001F3F6A">
        <w:rPr>
          <w:color w:val="333333"/>
          <w:sz w:val="22"/>
          <w:szCs w:val="22"/>
        </w:rPr>
        <w:t xml:space="preserve">which may contain tetanus bacilli spores, </w:t>
      </w:r>
      <w:r w:rsidR="00121DD1" w:rsidRPr="001F3F6A">
        <w:rPr>
          <w:color w:val="333333"/>
          <w:sz w:val="22"/>
          <w:szCs w:val="22"/>
        </w:rPr>
        <w:t xml:space="preserve">and risk for puncture or open wound injuries, </w:t>
      </w:r>
      <w:r w:rsidR="00CD209D" w:rsidRPr="001F3F6A">
        <w:rPr>
          <w:color w:val="333333"/>
          <w:sz w:val="22"/>
          <w:szCs w:val="22"/>
        </w:rPr>
        <w:t xml:space="preserve">her risk </w:t>
      </w:r>
      <w:r w:rsidR="00121DD1" w:rsidRPr="001F3F6A">
        <w:rPr>
          <w:color w:val="333333"/>
          <w:sz w:val="22"/>
          <w:szCs w:val="22"/>
        </w:rPr>
        <w:t>for tet</w:t>
      </w:r>
      <w:r w:rsidR="00017ED1" w:rsidRPr="001F3F6A">
        <w:rPr>
          <w:color w:val="333333"/>
          <w:sz w:val="22"/>
          <w:szCs w:val="22"/>
        </w:rPr>
        <w:t>a</w:t>
      </w:r>
      <w:r w:rsidR="00121DD1" w:rsidRPr="001F3F6A">
        <w:rPr>
          <w:color w:val="333333"/>
          <w:sz w:val="22"/>
          <w:szCs w:val="22"/>
        </w:rPr>
        <w:t>nus is</w:t>
      </w:r>
      <w:r w:rsidR="00CD209D" w:rsidRPr="001F3F6A">
        <w:rPr>
          <w:color w:val="333333"/>
          <w:sz w:val="22"/>
          <w:szCs w:val="22"/>
        </w:rPr>
        <w:t xml:space="preserve"> higher than </w:t>
      </w:r>
      <w:r w:rsidR="0022480E" w:rsidRPr="001F3F6A">
        <w:rPr>
          <w:color w:val="333333"/>
          <w:sz w:val="22"/>
          <w:szCs w:val="22"/>
        </w:rPr>
        <w:t>that of</w:t>
      </w:r>
      <w:r w:rsidR="00CD209D" w:rsidRPr="001F3F6A">
        <w:rPr>
          <w:color w:val="333333"/>
          <w:sz w:val="22"/>
          <w:szCs w:val="22"/>
        </w:rPr>
        <w:t xml:space="preserve"> most occupations.</w:t>
      </w:r>
      <w:r w:rsidR="00AA0ECB" w:rsidRPr="001F3F6A">
        <w:rPr>
          <w:color w:val="333333"/>
          <w:sz w:val="22"/>
          <w:szCs w:val="22"/>
        </w:rPr>
        <w:t xml:space="preserve"> </w:t>
      </w:r>
    </w:p>
    <w:sectPr w:rsidR="00203CA0" w:rsidRPr="001F3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57"/>
    <w:rsid w:val="00017ED1"/>
    <w:rsid w:val="00051350"/>
    <w:rsid w:val="000623DD"/>
    <w:rsid w:val="00121DD1"/>
    <w:rsid w:val="0018090F"/>
    <w:rsid w:val="00180C0A"/>
    <w:rsid w:val="001D48A0"/>
    <w:rsid w:val="001F3F6A"/>
    <w:rsid w:val="00203CA0"/>
    <w:rsid w:val="0022480E"/>
    <w:rsid w:val="002A69E3"/>
    <w:rsid w:val="003E5849"/>
    <w:rsid w:val="004208AB"/>
    <w:rsid w:val="00486643"/>
    <w:rsid w:val="004C00C5"/>
    <w:rsid w:val="00597728"/>
    <w:rsid w:val="005B4B81"/>
    <w:rsid w:val="006119AB"/>
    <w:rsid w:val="0065556E"/>
    <w:rsid w:val="006C6955"/>
    <w:rsid w:val="006E7B15"/>
    <w:rsid w:val="0070071A"/>
    <w:rsid w:val="00705018"/>
    <w:rsid w:val="0071273C"/>
    <w:rsid w:val="00757AC8"/>
    <w:rsid w:val="00853D51"/>
    <w:rsid w:val="008B7DB3"/>
    <w:rsid w:val="008C3300"/>
    <w:rsid w:val="0091756C"/>
    <w:rsid w:val="00A45C19"/>
    <w:rsid w:val="00AA0ECB"/>
    <w:rsid w:val="00AC4A9B"/>
    <w:rsid w:val="00B11463"/>
    <w:rsid w:val="00B45E3A"/>
    <w:rsid w:val="00B7261B"/>
    <w:rsid w:val="00BA2117"/>
    <w:rsid w:val="00BD2A07"/>
    <w:rsid w:val="00C10E0A"/>
    <w:rsid w:val="00C32CAA"/>
    <w:rsid w:val="00CA4B57"/>
    <w:rsid w:val="00CD209D"/>
    <w:rsid w:val="00D01CB9"/>
    <w:rsid w:val="00D607E8"/>
    <w:rsid w:val="00D82273"/>
    <w:rsid w:val="00DE5B8E"/>
    <w:rsid w:val="00E60B1D"/>
    <w:rsid w:val="00E91A30"/>
    <w:rsid w:val="00EA47FE"/>
    <w:rsid w:val="00F0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26AA9"/>
  <w15:chartTrackingRefBased/>
  <w15:docId w15:val="{6A0F5470-C859-466E-B0F3-B854BD59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B8E"/>
    <w:pPr>
      <w:spacing w:after="150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4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8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8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8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0070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91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305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76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54503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6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Marie (CDC/NIOSH/DSHEFS)</dc:creator>
  <cp:keywords/>
  <dc:description/>
  <cp:lastModifiedBy>Filios, Margaret S. (CDC/NIOSH/RHD)</cp:lastModifiedBy>
  <cp:revision>4</cp:revision>
  <cp:lastPrinted>2017-08-25T14:51:00Z</cp:lastPrinted>
  <dcterms:created xsi:type="dcterms:W3CDTF">2017-08-25T16:38:00Z</dcterms:created>
  <dcterms:modified xsi:type="dcterms:W3CDTF">2017-08-25T17:02:00Z</dcterms:modified>
</cp:coreProperties>
</file>