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E341" w14:textId="338516BB" w:rsidR="00A42B03" w:rsidRPr="00B80D8F" w:rsidRDefault="00EC1688">
      <w:pPr>
        <w:rPr>
          <w:rFonts w:ascii="Arial" w:hAnsi="Arial" w:cs="Arial"/>
          <w:b/>
        </w:rPr>
      </w:pPr>
      <w:r w:rsidRPr="00B80D8F">
        <w:rPr>
          <w:rFonts w:ascii="Arial" w:hAnsi="Arial" w:cs="Arial"/>
          <w:b/>
        </w:rPr>
        <w:t xml:space="preserve">HL7 EHR WG – “Reducing Clinician Burden” </w:t>
      </w:r>
      <w:r w:rsidR="00D52996">
        <w:rPr>
          <w:rFonts w:ascii="Arial" w:hAnsi="Arial" w:cs="Arial"/>
          <w:b/>
        </w:rPr>
        <w:t xml:space="preserve">(RCB) </w:t>
      </w:r>
      <w:r w:rsidRPr="00B80D8F">
        <w:rPr>
          <w:rFonts w:ascii="Arial" w:hAnsi="Arial" w:cs="Arial"/>
          <w:b/>
        </w:rPr>
        <w:t>Project</w:t>
      </w:r>
    </w:p>
    <w:p w14:paraId="3BC385D6" w14:textId="1CB5CB8C" w:rsidR="00EC1688" w:rsidRPr="00B80D8F" w:rsidRDefault="006C47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Burden Reduction </w:t>
      </w:r>
      <w:r w:rsidR="00EC1688" w:rsidRPr="00B80D8F">
        <w:rPr>
          <w:rFonts w:ascii="Arial" w:hAnsi="Arial" w:cs="Arial"/>
          <w:b/>
        </w:rPr>
        <w:t>Success Stor</w:t>
      </w:r>
      <w:r>
        <w:rPr>
          <w:rFonts w:ascii="Arial" w:hAnsi="Arial" w:cs="Arial"/>
          <w:b/>
        </w:rPr>
        <w:t>ies</w:t>
      </w:r>
    </w:p>
    <w:p w14:paraId="55ED50F6" w14:textId="1105DBE4" w:rsidR="00EC1688" w:rsidRDefault="00EC1688">
      <w:pPr>
        <w:rPr>
          <w:rFonts w:ascii="Arial" w:hAnsi="Arial" w:cs="Arial"/>
        </w:rPr>
      </w:pPr>
    </w:p>
    <w:p w14:paraId="28D166A3" w14:textId="75BBFF73" w:rsidR="00F24DE5" w:rsidRDefault="00D03C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Over the past several months, t</w:t>
      </w:r>
      <w:r w:rsidR="006C4732" w:rsidRPr="006C4732">
        <w:rPr>
          <w:rFonts w:ascii="Arial" w:hAnsi="Arial" w:cs="Arial"/>
          <w:sz w:val="20"/>
        </w:rPr>
        <w:t xml:space="preserve">he Health Level Seven (HL7) Electronic Health Record Work Group (EHR WG) has been </w:t>
      </w:r>
      <w:r>
        <w:rPr>
          <w:rFonts w:ascii="Arial" w:hAnsi="Arial" w:cs="Arial"/>
          <w:sz w:val="20"/>
        </w:rPr>
        <w:t xml:space="preserve">actively reviewing </w:t>
      </w:r>
      <w:r w:rsidR="00061FE1">
        <w:rPr>
          <w:rFonts w:ascii="Arial" w:hAnsi="Arial" w:cs="Arial"/>
          <w:sz w:val="20"/>
        </w:rPr>
        <w:t xml:space="preserve">and analyzing </w:t>
      </w:r>
      <w:r w:rsidR="00D52996">
        <w:rPr>
          <w:rFonts w:ascii="Arial" w:hAnsi="Arial" w:cs="Arial"/>
          <w:sz w:val="20"/>
        </w:rPr>
        <w:t>the serious subject</w:t>
      </w:r>
      <w:r>
        <w:rPr>
          <w:rFonts w:ascii="Arial" w:hAnsi="Arial" w:cs="Arial"/>
          <w:sz w:val="20"/>
        </w:rPr>
        <w:t xml:space="preserve"> of clinician burden</w:t>
      </w:r>
      <w:r w:rsidR="006F5A21">
        <w:rPr>
          <w:rFonts w:ascii="Arial" w:hAnsi="Arial" w:cs="Arial"/>
          <w:sz w:val="20"/>
        </w:rPr>
        <w:t xml:space="preserve"> and burnout</w:t>
      </w:r>
      <w:r w:rsidR="00061FE1">
        <w:rPr>
          <w:rFonts w:ascii="Arial" w:hAnsi="Arial" w:cs="Arial"/>
          <w:sz w:val="20"/>
        </w:rPr>
        <w:t xml:space="preserve"> (particularly </w:t>
      </w:r>
      <w:r w:rsidR="00643B03">
        <w:rPr>
          <w:rFonts w:ascii="Arial" w:hAnsi="Arial" w:cs="Arial"/>
          <w:sz w:val="20"/>
        </w:rPr>
        <w:t>as it relates</w:t>
      </w:r>
      <w:r w:rsidR="00061FE1">
        <w:rPr>
          <w:rFonts w:ascii="Arial" w:hAnsi="Arial" w:cs="Arial"/>
          <w:sz w:val="20"/>
        </w:rPr>
        <w:t xml:space="preserve"> to the use of </w:t>
      </w:r>
      <w:r w:rsidR="00EA6D91">
        <w:rPr>
          <w:rFonts w:ascii="Arial" w:hAnsi="Arial" w:cs="Arial"/>
          <w:sz w:val="20"/>
        </w:rPr>
        <w:t>EHR/HIT</w:t>
      </w:r>
      <w:r w:rsidR="00061FE1">
        <w:rPr>
          <w:rFonts w:ascii="Arial" w:hAnsi="Arial" w:cs="Arial"/>
          <w:sz w:val="20"/>
        </w:rPr>
        <w:t xml:space="preserve"> systems)</w:t>
      </w:r>
      <w:r>
        <w:rPr>
          <w:rFonts w:ascii="Arial" w:hAnsi="Arial" w:cs="Arial"/>
          <w:sz w:val="20"/>
        </w:rPr>
        <w:t xml:space="preserve">.  </w:t>
      </w:r>
      <w:bookmarkStart w:id="0" w:name="OLE_LINK227"/>
      <w:bookmarkStart w:id="1" w:name="OLE_LINK228"/>
      <w:r>
        <w:rPr>
          <w:rFonts w:ascii="Arial" w:hAnsi="Arial" w:cs="Arial"/>
          <w:sz w:val="20"/>
        </w:rPr>
        <w:t xml:space="preserve">We want to ensure RCB is a foremost objective as we develop future </w:t>
      </w:r>
      <w:r w:rsidR="006F5A21">
        <w:rPr>
          <w:rFonts w:ascii="Arial" w:hAnsi="Arial" w:cs="Arial"/>
          <w:sz w:val="20"/>
        </w:rPr>
        <w:t xml:space="preserve">(US and international) </w:t>
      </w:r>
      <w:r>
        <w:rPr>
          <w:rFonts w:ascii="Arial" w:hAnsi="Arial" w:cs="Arial"/>
          <w:sz w:val="20"/>
        </w:rPr>
        <w:t xml:space="preserve">standards for EHR system functionality.  This endeavor has led us to review </w:t>
      </w:r>
      <w:r w:rsidR="00E571E5">
        <w:rPr>
          <w:rFonts w:ascii="Arial" w:hAnsi="Arial" w:cs="Arial"/>
          <w:sz w:val="20"/>
        </w:rPr>
        <w:t>&gt;50 reference</w:t>
      </w:r>
      <w:r>
        <w:rPr>
          <w:rFonts w:ascii="Arial" w:hAnsi="Arial" w:cs="Arial"/>
          <w:sz w:val="20"/>
        </w:rPr>
        <w:t xml:space="preserve"> sources, including t</w:t>
      </w:r>
      <w:r w:rsidRPr="00D03C41">
        <w:rPr>
          <w:rFonts w:ascii="Arial" w:hAnsi="Arial" w:cs="Arial"/>
          <w:sz w:val="20"/>
        </w:rPr>
        <w:t>rade publications, professional society journals, articles, studies</w:t>
      </w:r>
      <w:r>
        <w:rPr>
          <w:rFonts w:ascii="Arial" w:hAnsi="Arial" w:cs="Arial"/>
          <w:sz w:val="20"/>
        </w:rPr>
        <w:t xml:space="preserve"> and </w:t>
      </w:r>
      <w:r w:rsidRPr="00D03C41">
        <w:rPr>
          <w:rFonts w:ascii="Arial" w:hAnsi="Arial" w:cs="Arial"/>
          <w:sz w:val="20"/>
        </w:rPr>
        <w:t>personal experience</w:t>
      </w:r>
      <w:r>
        <w:rPr>
          <w:rFonts w:ascii="Arial" w:hAnsi="Arial" w:cs="Arial"/>
          <w:sz w:val="20"/>
        </w:rPr>
        <w:t xml:space="preserve">.  </w:t>
      </w:r>
      <w:bookmarkEnd w:id="0"/>
      <w:bookmarkEnd w:id="1"/>
      <w:r>
        <w:rPr>
          <w:rFonts w:ascii="Arial" w:hAnsi="Arial" w:cs="Arial"/>
          <w:sz w:val="20"/>
        </w:rPr>
        <w:t xml:space="preserve">We have </w:t>
      </w:r>
      <w:r w:rsidR="00061FE1">
        <w:rPr>
          <w:rFonts w:ascii="Arial" w:hAnsi="Arial" w:cs="Arial"/>
          <w:sz w:val="20"/>
        </w:rPr>
        <w:t xml:space="preserve">now </w:t>
      </w:r>
      <w:r>
        <w:rPr>
          <w:rFonts w:ascii="Arial" w:hAnsi="Arial" w:cs="Arial"/>
          <w:sz w:val="20"/>
        </w:rPr>
        <w:t>identified &gt;35 topic areas and detailed the burden associated with each</w:t>
      </w:r>
      <w:r w:rsidR="006F5A21">
        <w:rPr>
          <w:rFonts w:ascii="Arial" w:hAnsi="Arial" w:cs="Arial"/>
          <w:sz w:val="20"/>
        </w:rPr>
        <w:t xml:space="preserve"> (see next page for topic list</w:t>
      </w:r>
      <w:r w:rsidR="00643B03">
        <w:rPr>
          <w:rFonts w:ascii="Arial" w:hAnsi="Arial" w:cs="Arial"/>
          <w:sz w:val="20"/>
        </w:rPr>
        <w:t xml:space="preserve"> along with a link to project materials and reference sources</w:t>
      </w:r>
      <w:r w:rsidR="006F5A21">
        <w:rPr>
          <w:rFonts w:ascii="Arial" w:hAnsi="Arial" w:cs="Arial"/>
          <w:sz w:val="20"/>
        </w:rPr>
        <w:t>).</w:t>
      </w:r>
    </w:p>
    <w:p w14:paraId="538A8052" w14:textId="0369BE4E" w:rsidR="00D03C41" w:rsidRDefault="00D03C41">
      <w:pPr>
        <w:rPr>
          <w:rFonts w:ascii="Arial" w:hAnsi="Arial" w:cs="Arial"/>
          <w:sz w:val="20"/>
        </w:rPr>
      </w:pPr>
    </w:p>
    <w:p w14:paraId="665EEA08" w14:textId="49FD3B90" w:rsidR="006F5A21" w:rsidRDefault="00D03C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round out our analysis we are seeking the stories of </w:t>
      </w:r>
      <w:r w:rsidR="00061FE1">
        <w:rPr>
          <w:rFonts w:ascii="Arial" w:hAnsi="Arial" w:cs="Arial"/>
          <w:sz w:val="20"/>
        </w:rPr>
        <w:t xml:space="preserve">healthcare </w:t>
      </w:r>
      <w:r>
        <w:rPr>
          <w:rFonts w:ascii="Arial" w:hAnsi="Arial" w:cs="Arial"/>
          <w:sz w:val="20"/>
        </w:rPr>
        <w:t>providers, EHR/HIT vendors and others, who have achieved substantive success at reducing burdens through</w:t>
      </w:r>
      <w:r w:rsidR="006F5A21">
        <w:rPr>
          <w:rFonts w:ascii="Arial" w:hAnsi="Arial" w:cs="Arial"/>
          <w:sz w:val="20"/>
        </w:rPr>
        <w:t>:</w:t>
      </w:r>
    </w:p>
    <w:p w14:paraId="2A0720B0" w14:textId="7E86F17D" w:rsidR="006F5A21" w:rsidRPr="00A25C32" w:rsidRDefault="00A25C32" w:rsidP="00A25C32">
      <w:pPr>
        <w:pStyle w:val="ListParagraph"/>
        <w:numPr>
          <w:ilvl w:val="0"/>
          <w:numId w:val="5"/>
        </w:num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6F5A21" w:rsidRPr="00A25C32">
        <w:rPr>
          <w:rFonts w:ascii="Arial" w:hAnsi="Arial" w:cs="Arial"/>
          <w:sz w:val="20"/>
        </w:rPr>
        <w:t>ptim</w:t>
      </w:r>
      <w:r w:rsidR="00061FE1" w:rsidRPr="00A25C32">
        <w:rPr>
          <w:rFonts w:ascii="Arial" w:hAnsi="Arial" w:cs="Arial"/>
          <w:sz w:val="20"/>
        </w:rPr>
        <w:t>al</w:t>
      </w:r>
      <w:r w:rsidR="006F5A21" w:rsidRPr="00A25C32">
        <w:rPr>
          <w:rFonts w:ascii="Arial" w:hAnsi="Arial" w:cs="Arial"/>
          <w:sz w:val="20"/>
        </w:rPr>
        <w:t xml:space="preserve"> </w:t>
      </w:r>
      <w:r w:rsidR="00D03C41" w:rsidRPr="00A25C32">
        <w:rPr>
          <w:rFonts w:ascii="Arial" w:hAnsi="Arial" w:cs="Arial"/>
          <w:sz w:val="20"/>
        </w:rPr>
        <w:t>design and implementation of EHR system function</w:t>
      </w:r>
      <w:r w:rsidR="006F5A21" w:rsidRPr="00A25C32">
        <w:rPr>
          <w:rFonts w:ascii="Arial" w:hAnsi="Arial" w:cs="Arial"/>
          <w:sz w:val="20"/>
        </w:rPr>
        <w:t>s</w:t>
      </w:r>
      <w:r w:rsidRPr="00A25C32">
        <w:rPr>
          <w:rFonts w:ascii="Arial" w:hAnsi="Arial" w:cs="Arial"/>
          <w:sz w:val="20"/>
        </w:rPr>
        <w:t>;</w:t>
      </w:r>
    </w:p>
    <w:p w14:paraId="5BE591D6" w14:textId="71D7A628" w:rsidR="006F5A21" w:rsidRPr="00A25C32" w:rsidRDefault="00A25C32" w:rsidP="00A25C32">
      <w:pPr>
        <w:pStyle w:val="ListParagraph"/>
        <w:numPr>
          <w:ilvl w:val="0"/>
          <w:numId w:val="5"/>
        </w:num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D03C41" w:rsidRPr="00A25C32">
        <w:rPr>
          <w:rFonts w:ascii="Arial" w:hAnsi="Arial" w:cs="Arial"/>
          <w:sz w:val="20"/>
        </w:rPr>
        <w:t xml:space="preserve">ffective </w:t>
      </w:r>
      <w:r w:rsidR="00061FE1" w:rsidRPr="00A25C32">
        <w:rPr>
          <w:rFonts w:ascii="Arial" w:hAnsi="Arial" w:cs="Arial"/>
          <w:sz w:val="20"/>
        </w:rPr>
        <w:t xml:space="preserve">and streamlined </w:t>
      </w:r>
      <w:r w:rsidR="00D03C41" w:rsidRPr="00A25C32">
        <w:rPr>
          <w:rFonts w:ascii="Arial" w:hAnsi="Arial" w:cs="Arial"/>
          <w:sz w:val="20"/>
        </w:rPr>
        <w:t>work and process flows</w:t>
      </w:r>
      <w:r w:rsidR="006F5A21" w:rsidRPr="00A25C32">
        <w:rPr>
          <w:rFonts w:ascii="Arial" w:hAnsi="Arial" w:cs="Arial"/>
          <w:sz w:val="20"/>
        </w:rPr>
        <w:t>, including elimination of unnecessary tasks</w:t>
      </w:r>
      <w:r>
        <w:rPr>
          <w:rFonts w:ascii="Arial" w:hAnsi="Arial" w:cs="Arial"/>
          <w:sz w:val="20"/>
        </w:rPr>
        <w:t>, steps and data collection;</w:t>
      </w:r>
    </w:p>
    <w:p w14:paraId="00A9EF8E" w14:textId="333B4A49" w:rsidR="006F5A21" w:rsidRPr="00A25C32" w:rsidRDefault="00A25C32" w:rsidP="00A25C32">
      <w:pPr>
        <w:pStyle w:val="ListParagraph"/>
        <w:numPr>
          <w:ilvl w:val="0"/>
          <w:numId w:val="5"/>
        </w:num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D03C41" w:rsidRPr="00A25C32">
        <w:rPr>
          <w:rFonts w:ascii="Arial" w:hAnsi="Arial" w:cs="Arial"/>
          <w:sz w:val="20"/>
        </w:rPr>
        <w:t>evelop</w:t>
      </w:r>
      <w:r w:rsidR="00061FE1" w:rsidRPr="00A25C32">
        <w:rPr>
          <w:rFonts w:ascii="Arial" w:hAnsi="Arial" w:cs="Arial"/>
          <w:sz w:val="20"/>
        </w:rPr>
        <w:t xml:space="preserve">ment and </w:t>
      </w:r>
      <w:r w:rsidR="00D03C41" w:rsidRPr="00A25C32">
        <w:rPr>
          <w:rFonts w:ascii="Arial" w:hAnsi="Arial" w:cs="Arial"/>
          <w:sz w:val="20"/>
        </w:rPr>
        <w:t>adopti</w:t>
      </w:r>
      <w:r w:rsidR="00061FE1" w:rsidRPr="00A25C32">
        <w:rPr>
          <w:rFonts w:ascii="Arial" w:hAnsi="Arial" w:cs="Arial"/>
          <w:sz w:val="20"/>
        </w:rPr>
        <w:t>on of</w:t>
      </w:r>
      <w:r w:rsidR="00D03C41" w:rsidRPr="00A25C32">
        <w:rPr>
          <w:rFonts w:ascii="Arial" w:hAnsi="Arial" w:cs="Arial"/>
          <w:sz w:val="20"/>
        </w:rPr>
        <w:t xml:space="preserve"> best practices</w:t>
      </w:r>
      <w:r w:rsidRPr="00A25C32">
        <w:rPr>
          <w:rFonts w:ascii="Arial" w:hAnsi="Arial" w:cs="Arial"/>
          <w:sz w:val="20"/>
        </w:rPr>
        <w:t>;</w:t>
      </w:r>
    </w:p>
    <w:p w14:paraId="0AB67B20" w14:textId="2EA82594" w:rsidR="00D03C41" w:rsidRPr="00A25C32" w:rsidRDefault="00A25C32" w:rsidP="00A25C32">
      <w:pPr>
        <w:pStyle w:val="ListParagraph"/>
        <w:numPr>
          <w:ilvl w:val="0"/>
          <w:numId w:val="5"/>
        </w:num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061FE1" w:rsidRPr="00A25C32">
        <w:rPr>
          <w:rFonts w:ascii="Arial" w:hAnsi="Arial" w:cs="Arial"/>
          <w:sz w:val="20"/>
        </w:rPr>
        <w:t>eassignment of specific</w:t>
      </w:r>
      <w:r w:rsidR="006F5A21" w:rsidRPr="00A25C32">
        <w:rPr>
          <w:rFonts w:ascii="Arial" w:hAnsi="Arial" w:cs="Arial"/>
          <w:sz w:val="20"/>
        </w:rPr>
        <w:t xml:space="preserve"> tasks, responsibilities and accountabilities to other members of the care team</w:t>
      </w:r>
      <w:r>
        <w:rPr>
          <w:rFonts w:ascii="Arial" w:hAnsi="Arial" w:cs="Arial"/>
          <w:sz w:val="20"/>
        </w:rPr>
        <w:t>;</w:t>
      </w:r>
    </w:p>
    <w:p w14:paraId="41B811C8" w14:textId="0A5A62B1" w:rsidR="00A25C32" w:rsidRDefault="00A25C32" w:rsidP="00A25C32">
      <w:pPr>
        <w:pStyle w:val="ListParagraph"/>
        <w:numPr>
          <w:ilvl w:val="0"/>
          <w:numId w:val="5"/>
        </w:num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061FE1" w:rsidRPr="00A25C32">
        <w:rPr>
          <w:rFonts w:ascii="Arial" w:hAnsi="Arial" w:cs="Arial"/>
          <w:sz w:val="20"/>
        </w:rPr>
        <w:t>dvantageous</w:t>
      </w:r>
      <w:r w:rsidR="006F5A21" w:rsidRPr="00A25C32">
        <w:rPr>
          <w:rFonts w:ascii="Arial" w:hAnsi="Arial" w:cs="Arial"/>
          <w:sz w:val="20"/>
        </w:rPr>
        <w:t xml:space="preserve"> ways to capture health data at the source</w:t>
      </w:r>
      <w:r>
        <w:rPr>
          <w:rFonts w:ascii="Arial" w:hAnsi="Arial" w:cs="Arial"/>
          <w:sz w:val="20"/>
        </w:rPr>
        <w:t>;</w:t>
      </w:r>
    </w:p>
    <w:p w14:paraId="5E1618AB" w14:textId="063CA86E" w:rsidR="006F5A21" w:rsidRPr="00A25C32" w:rsidRDefault="00A25C32" w:rsidP="00A25C32">
      <w:pPr>
        <w:pStyle w:val="ListParagraph"/>
        <w:numPr>
          <w:ilvl w:val="0"/>
          <w:numId w:val="5"/>
        </w:num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Assistive approaches and algorithms; </w:t>
      </w:r>
      <w:r w:rsidR="006F5A21" w:rsidRPr="00A25C32">
        <w:rPr>
          <w:rFonts w:ascii="Arial" w:hAnsi="Arial" w:cs="Arial"/>
          <w:sz w:val="20"/>
        </w:rPr>
        <w:t xml:space="preserve"> and</w:t>
      </w:r>
      <w:bookmarkStart w:id="2" w:name="_GoBack"/>
      <w:bookmarkEnd w:id="2"/>
    </w:p>
    <w:p w14:paraId="012F9412" w14:textId="76340D90" w:rsidR="006F5A21" w:rsidRPr="00A25C32" w:rsidRDefault="00A25C32" w:rsidP="00A25C32">
      <w:pPr>
        <w:pStyle w:val="ListParagraph"/>
        <w:numPr>
          <w:ilvl w:val="0"/>
          <w:numId w:val="5"/>
        </w:num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6F5A21" w:rsidRPr="00A25C32">
        <w:rPr>
          <w:rFonts w:ascii="Arial" w:hAnsi="Arial" w:cs="Arial"/>
          <w:sz w:val="20"/>
        </w:rPr>
        <w:t xml:space="preserve">ther innovative </w:t>
      </w:r>
      <w:r w:rsidR="00954BDD" w:rsidRPr="00A25C32">
        <w:rPr>
          <w:rFonts w:ascii="Arial" w:hAnsi="Arial" w:cs="Arial"/>
          <w:sz w:val="20"/>
        </w:rPr>
        <w:t>methods</w:t>
      </w:r>
      <w:r w:rsidR="006F5A21" w:rsidRPr="00A25C32">
        <w:rPr>
          <w:rFonts w:ascii="Arial" w:hAnsi="Arial" w:cs="Arial"/>
          <w:sz w:val="20"/>
        </w:rPr>
        <w:t xml:space="preserve"> and techniques.</w:t>
      </w:r>
    </w:p>
    <w:p w14:paraId="0541CE4A" w14:textId="4893A12F" w:rsidR="006F5A21" w:rsidRDefault="006F5A21">
      <w:pPr>
        <w:rPr>
          <w:rFonts w:ascii="Arial" w:hAnsi="Arial" w:cs="Arial"/>
          <w:sz w:val="20"/>
        </w:rPr>
      </w:pPr>
    </w:p>
    <w:p w14:paraId="629B59AB" w14:textId="3E77C11B" w:rsidR="006F5A21" w:rsidRPr="006C4732" w:rsidRDefault="006F5A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are seeking </w:t>
      </w:r>
      <w:r w:rsidR="00061FE1">
        <w:rPr>
          <w:rFonts w:ascii="Arial" w:hAnsi="Arial" w:cs="Arial"/>
          <w:sz w:val="20"/>
        </w:rPr>
        <w:t xml:space="preserve">compelling </w:t>
      </w:r>
      <w:r w:rsidR="00D52996">
        <w:rPr>
          <w:rFonts w:ascii="Arial" w:hAnsi="Arial" w:cs="Arial"/>
          <w:sz w:val="20"/>
        </w:rPr>
        <w:t xml:space="preserve">RCB </w:t>
      </w:r>
      <w:r>
        <w:rPr>
          <w:rFonts w:ascii="Arial" w:hAnsi="Arial" w:cs="Arial"/>
          <w:sz w:val="20"/>
        </w:rPr>
        <w:t xml:space="preserve">success stories that you are willing to share – for the benefit of our standards development effort and </w:t>
      </w:r>
      <w:r w:rsidRPr="006F5A21">
        <w:rPr>
          <w:rFonts w:ascii="Arial" w:hAnsi="Arial" w:cs="Arial"/>
          <w:i/>
          <w:sz w:val="20"/>
        </w:rPr>
        <w:t>most importantly for the benefit of clinicians</w:t>
      </w:r>
      <w:r w:rsidR="00D52996">
        <w:rPr>
          <w:rFonts w:ascii="Arial" w:hAnsi="Arial" w:cs="Arial"/>
          <w:i/>
          <w:sz w:val="20"/>
        </w:rPr>
        <w:t>, care teams</w:t>
      </w:r>
      <w:r w:rsidRPr="006F5A21">
        <w:rPr>
          <w:rFonts w:ascii="Arial" w:hAnsi="Arial" w:cs="Arial"/>
          <w:i/>
          <w:sz w:val="20"/>
        </w:rPr>
        <w:t xml:space="preserve"> and patients</w:t>
      </w:r>
      <w:r>
        <w:rPr>
          <w:rFonts w:ascii="Arial" w:hAnsi="Arial" w:cs="Arial"/>
          <w:sz w:val="20"/>
        </w:rPr>
        <w:t>.</w:t>
      </w:r>
      <w:r w:rsidR="00954BDD">
        <w:rPr>
          <w:rFonts w:ascii="Arial" w:hAnsi="Arial" w:cs="Arial"/>
          <w:sz w:val="20"/>
        </w:rPr>
        <w:t xml:space="preserve">  All relevant input will be </w:t>
      </w:r>
      <w:r w:rsidR="00061FE1">
        <w:rPr>
          <w:rFonts w:ascii="Arial" w:hAnsi="Arial" w:cs="Arial"/>
          <w:sz w:val="20"/>
        </w:rPr>
        <w:t>incorporated</w:t>
      </w:r>
      <w:r w:rsidR="00954BDD">
        <w:rPr>
          <w:rFonts w:ascii="Arial" w:hAnsi="Arial" w:cs="Arial"/>
          <w:sz w:val="20"/>
        </w:rPr>
        <w:t xml:space="preserve"> or referenced in our analysis, fully attributed to its source with details and descriptions </w:t>
      </w:r>
      <w:r w:rsidR="00061FE1">
        <w:rPr>
          <w:rFonts w:ascii="Arial" w:hAnsi="Arial" w:cs="Arial"/>
          <w:sz w:val="20"/>
        </w:rPr>
        <w:t>included</w:t>
      </w:r>
      <w:r w:rsidR="00954BDD">
        <w:rPr>
          <w:rFonts w:ascii="Arial" w:hAnsi="Arial" w:cs="Arial"/>
          <w:sz w:val="20"/>
        </w:rPr>
        <w:t xml:space="preserve"> as submitted (verbatim).  Please include links to previously published material.</w:t>
      </w:r>
    </w:p>
    <w:p w14:paraId="3A5C1EC9" w14:textId="71D5B8DE" w:rsidR="00EC1688" w:rsidRDefault="00EC1688">
      <w:pPr>
        <w:rPr>
          <w:rFonts w:ascii="Arial" w:hAnsi="Arial" w:cs="Arial"/>
          <w:sz w:val="20"/>
        </w:rPr>
      </w:pPr>
    </w:p>
    <w:p w14:paraId="2F22137C" w14:textId="173C0CC0" w:rsidR="00D52996" w:rsidRDefault="00D529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provide the following information:</w:t>
      </w:r>
    </w:p>
    <w:p w14:paraId="75C1ECC0" w14:textId="77777777" w:rsidR="00D52996" w:rsidRPr="006C4732" w:rsidRDefault="00D52996">
      <w:pPr>
        <w:rPr>
          <w:rFonts w:ascii="Arial" w:hAnsi="Arial" w:cs="Arial"/>
          <w:sz w:val="20"/>
        </w:rPr>
      </w:pPr>
    </w:p>
    <w:p w14:paraId="0554C153" w14:textId="22EC56A8" w:rsidR="00D52996" w:rsidRPr="00D52996" w:rsidRDefault="00881121" w:rsidP="00D52996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</w:rPr>
      </w:pPr>
      <w:r w:rsidRPr="00D52996">
        <w:rPr>
          <w:rFonts w:ascii="Arial" w:hAnsi="Arial" w:cs="Arial"/>
          <w:sz w:val="20"/>
        </w:rPr>
        <w:t>Burden(s) Addressed</w:t>
      </w:r>
      <w:r w:rsidR="00D52996" w:rsidRPr="00D52996">
        <w:rPr>
          <w:rFonts w:ascii="Arial" w:hAnsi="Arial" w:cs="Arial"/>
          <w:sz w:val="20"/>
        </w:rPr>
        <w:t xml:space="preserve"> = PROBLEM</w:t>
      </w:r>
      <w:r w:rsidR="00D52996">
        <w:rPr>
          <w:rFonts w:ascii="Arial" w:hAnsi="Arial" w:cs="Arial"/>
          <w:sz w:val="20"/>
        </w:rPr>
        <w:t>(s)</w:t>
      </w:r>
    </w:p>
    <w:p w14:paraId="183F2DB5" w14:textId="77777777" w:rsidR="00D52996" w:rsidRDefault="00881121" w:rsidP="00D52996">
      <w:pPr>
        <w:pStyle w:val="ListParagraph"/>
        <w:ind w:left="360"/>
        <w:rPr>
          <w:rFonts w:ascii="Arial" w:hAnsi="Arial" w:cs="Arial"/>
          <w:sz w:val="20"/>
        </w:rPr>
      </w:pPr>
      <w:r w:rsidRPr="00D52996">
        <w:rPr>
          <w:rFonts w:ascii="Arial" w:hAnsi="Arial" w:cs="Arial"/>
          <w:sz w:val="20"/>
        </w:rPr>
        <w:t>[see next page</w:t>
      </w:r>
      <w:r w:rsidR="00D52996" w:rsidRPr="00D52996">
        <w:rPr>
          <w:rFonts w:ascii="Arial" w:hAnsi="Arial" w:cs="Arial"/>
          <w:sz w:val="20"/>
        </w:rPr>
        <w:t xml:space="preserve"> for topic list</w:t>
      </w:r>
      <w:r w:rsidRPr="00D52996">
        <w:rPr>
          <w:rFonts w:ascii="Arial" w:hAnsi="Arial" w:cs="Arial"/>
          <w:sz w:val="20"/>
        </w:rPr>
        <w:t>]</w:t>
      </w:r>
    </w:p>
    <w:p w14:paraId="272D9182" w14:textId="77777777" w:rsidR="00D52996" w:rsidRDefault="00D52996" w:rsidP="00D52996">
      <w:pPr>
        <w:pStyle w:val="ListParagraph"/>
        <w:ind w:left="360"/>
        <w:rPr>
          <w:rFonts w:ascii="Arial" w:hAnsi="Arial" w:cs="Arial"/>
          <w:sz w:val="20"/>
        </w:rPr>
      </w:pPr>
    </w:p>
    <w:p w14:paraId="2F871A15" w14:textId="4D7718E3" w:rsidR="00D52996" w:rsidRDefault="00EC1688" w:rsidP="00D52996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</w:rPr>
      </w:pPr>
      <w:r w:rsidRPr="00D52996">
        <w:rPr>
          <w:rFonts w:ascii="Arial" w:hAnsi="Arial" w:cs="Arial"/>
          <w:sz w:val="20"/>
        </w:rPr>
        <w:t>Submitt</w:t>
      </w:r>
      <w:r w:rsidR="001606FA" w:rsidRPr="00D52996">
        <w:rPr>
          <w:rFonts w:ascii="Arial" w:hAnsi="Arial" w:cs="Arial"/>
          <w:sz w:val="20"/>
        </w:rPr>
        <w:t xml:space="preserve">ing Organization:  </w:t>
      </w:r>
      <w:r w:rsidR="00D52996" w:rsidRPr="00D52996">
        <w:rPr>
          <w:rFonts w:ascii="Arial" w:hAnsi="Arial" w:cs="Arial"/>
          <w:sz w:val="20"/>
        </w:rPr>
        <w:t>p</w:t>
      </w:r>
      <w:r w:rsidR="001606FA" w:rsidRPr="00D52996">
        <w:rPr>
          <w:rFonts w:ascii="Arial" w:hAnsi="Arial" w:cs="Arial"/>
          <w:sz w:val="20"/>
        </w:rPr>
        <w:t xml:space="preserve">rovider, EHR/HIT </w:t>
      </w:r>
      <w:r w:rsidR="00D52996" w:rsidRPr="00D52996">
        <w:rPr>
          <w:rFonts w:ascii="Arial" w:hAnsi="Arial" w:cs="Arial"/>
          <w:sz w:val="20"/>
        </w:rPr>
        <w:t>v</w:t>
      </w:r>
      <w:r w:rsidR="001606FA" w:rsidRPr="00D52996">
        <w:rPr>
          <w:rFonts w:ascii="Arial" w:hAnsi="Arial" w:cs="Arial"/>
          <w:sz w:val="20"/>
        </w:rPr>
        <w:t>endor, other</w:t>
      </w:r>
    </w:p>
    <w:p w14:paraId="6D02ACA1" w14:textId="77777777" w:rsidR="007B0562" w:rsidRDefault="007B0562" w:rsidP="007B0562">
      <w:pPr>
        <w:pStyle w:val="ListParagraph"/>
        <w:ind w:left="360"/>
        <w:rPr>
          <w:rFonts w:ascii="Arial" w:hAnsi="Arial" w:cs="Arial"/>
          <w:sz w:val="20"/>
        </w:rPr>
      </w:pPr>
    </w:p>
    <w:p w14:paraId="1ADFA5EE" w14:textId="2D55BE6D" w:rsidR="007B0562" w:rsidRDefault="007B0562" w:rsidP="00D52996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Submission Date:  day month year</w:t>
      </w:r>
    </w:p>
    <w:p w14:paraId="60378884" w14:textId="77777777" w:rsidR="00D52996" w:rsidRDefault="00D52996" w:rsidP="00D52996">
      <w:pPr>
        <w:pStyle w:val="ListParagraph"/>
        <w:ind w:left="360"/>
        <w:rPr>
          <w:rFonts w:ascii="Arial" w:hAnsi="Arial" w:cs="Arial"/>
          <w:sz w:val="20"/>
        </w:rPr>
      </w:pPr>
    </w:p>
    <w:p w14:paraId="5C0B0DF7" w14:textId="4D7D0C57" w:rsidR="00D52996" w:rsidRDefault="00BA61D2" w:rsidP="00D52996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</w:rPr>
      </w:pPr>
      <w:r w:rsidRPr="00D52996">
        <w:rPr>
          <w:rFonts w:ascii="Arial" w:hAnsi="Arial" w:cs="Arial"/>
          <w:sz w:val="20"/>
        </w:rPr>
        <w:t>Reference Site(s)</w:t>
      </w:r>
      <w:r w:rsidR="001606FA" w:rsidRPr="00D52996">
        <w:rPr>
          <w:rFonts w:ascii="Arial" w:hAnsi="Arial" w:cs="Arial"/>
          <w:sz w:val="20"/>
        </w:rPr>
        <w:t xml:space="preserve">:  </w:t>
      </w:r>
      <w:r w:rsidR="00D52996" w:rsidRPr="00D52996">
        <w:rPr>
          <w:rFonts w:ascii="Arial" w:hAnsi="Arial" w:cs="Arial"/>
          <w:sz w:val="20"/>
        </w:rPr>
        <w:t>h</w:t>
      </w:r>
      <w:r w:rsidR="001606FA" w:rsidRPr="00D52996">
        <w:rPr>
          <w:rFonts w:ascii="Arial" w:hAnsi="Arial" w:cs="Arial"/>
          <w:sz w:val="20"/>
        </w:rPr>
        <w:t>ealthcare organization</w:t>
      </w:r>
      <w:r w:rsidR="00D52996" w:rsidRPr="00D52996">
        <w:rPr>
          <w:rFonts w:ascii="Arial" w:hAnsi="Arial" w:cs="Arial"/>
          <w:sz w:val="20"/>
        </w:rPr>
        <w:t>(s)</w:t>
      </w:r>
      <w:r w:rsidR="001606FA" w:rsidRPr="00D52996">
        <w:rPr>
          <w:rFonts w:ascii="Arial" w:hAnsi="Arial" w:cs="Arial"/>
          <w:sz w:val="20"/>
        </w:rPr>
        <w:t xml:space="preserve"> or practice</w:t>
      </w:r>
      <w:r w:rsidR="00D52996" w:rsidRPr="00D52996">
        <w:rPr>
          <w:rFonts w:ascii="Arial" w:hAnsi="Arial" w:cs="Arial"/>
          <w:sz w:val="20"/>
        </w:rPr>
        <w:t>(s)</w:t>
      </w:r>
    </w:p>
    <w:p w14:paraId="514F3E05" w14:textId="77777777" w:rsidR="00D52996" w:rsidRPr="00D52996" w:rsidRDefault="00D52996" w:rsidP="00D52996">
      <w:pPr>
        <w:rPr>
          <w:rFonts w:ascii="Arial" w:hAnsi="Arial" w:cs="Arial"/>
          <w:sz w:val="20"/>
        </w:rPr>
      </w:pPr>
    </w:p>
    <w:p w14:paraId="45F9244E" w14:textId="6D992DA0" w:rsidR="00D52996" w:rsidRDefault="001606FA" w:rsidP="00D52996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</w:rPr>
      </w:pPr>
      <w:r w:rsidRPr="00D52996">
        <w:rPr>
          <w:rFonts w:ascii="Arial" w:hAnsi="Arial" w:cs="Arial"/>
          <w:sz w:val="20"/>
        </w:rPr>
        <w:t xml:space="preserve">Contact(s):  </w:t>
      </w:r>
      <w:r w:rsidR="00881121" w:rsidRPr="00D52996">
        <w:rPr>
          <w:rFonts w:ascii="Arial" w:hAnsi="Arial" w:cs="Arial"/>
          <w:sz w:val="20"/>
        </w:rPr>
        <w:t>n</w:t>
      </w:r>
      <w:r w:rsidRPr="00D52996">
        <w:rPr>
          <w:rFonts w:ascii="Arial" w:hAnsi="Arial" w:cs="Arial"/>
          <w:sz w:val="20"/>
        </w:rPr>
        <w:t>ame</w:t>
      </w:r>
      <w:r w:rsidR="00D52996" w:rsidRPr="00D52996">
        <w:rPr>
          <w:rFonts w:ascii="Arial" w:hAnsi="Arial" w:cs="Arial"/>
          <w:sz w:val="20"/>
        </w:rPr>
        <w:t>(s)</w:t>
      </w:r>
      <w:r w:rsidRPr="00D52996">
        <w:rPr>
          <w:rFonts w:ascii="Arial" w:hAnsi="Arial" w:cs="Arial"/>
          <w:sz w:val="20"/>
        </w:rPr>
        <w:t xml:space="preserve">, </w:t>
      </w:r>
      <w:r w:rsidR="00881121" w:rsidRPr="00D52996">
        <w:rPr>
          <w:rFonts w:ascii="Arial" w:hAnsi="Arial" w:cs="Arial"/>
          <w:sz w:val="20"/>
        </w:rPr>
        <w:t>o</w:t>
      </w:r>
      <w:r w:rsidRPr="00D52996">
        <w:rPr>
          <w:rFonts w:ascii="Arial" w:hAnsi="Arial" w:cs="Arial"/>
          <w:sz w:val="20"/>
        </w:rPr>
        <w:t>rganization</w:t>
      </w:r>
      <w:r w:rsidR="00D52996" w:rsidRPr="00D52996">
        <w:rPr>
          <w:rFonts w:ascii="Arial" w:hAnsi="Arial" w:cs="Arial"/>
          <w:sz w:val="20"/>
        </w:rPr>
        <w:t>(s)</w:t>
      </w:r>
      <w:r w:rsidRPr="00D52996">
        <w:rPr>
          <w:rFonts w:ascii="Arial" w:hAnsi="Arial" w:cs="Arial"/>
          <w:sz w:val="20"/>
        </w:rPr>
        <w:t>, email address</w:t>
      </w:r>
      <w:r w:rsidR="00D52996" w:rsidRPr="00D52996">
        <w:rPr>
          <w:rFonts w:ascii="Arial" w:hAnsi="Arial" w:cs="Arial"/>
          <w:sz w:val="20"/>
        </w:rPr>
        <w:t>(</w:t>
      </w:r>
      <w:proofErr w:type="spellStart"/>
      <w:r w:rsidR="00D52996" w:rsidRPr="00D52996">
        <w:rPr>
          <w:rFonts w:ascii="Arial" w:hAnsi="Arial" w:cs="Arial"/>
          <w:sz w:val="20"/>
        </w:rPr>
        <w:t>es</w:t>
      </w:r>
      <w:proofErr w:type="spellEnd"/>
      <w:r w:rsidR="00D52996" w:rsidRPr="00D52996">
        <w:rPr>
          <w:rFonts w:ascii="Arial" w:hAnsi="Arial" w:cs="Arial"/>
          <w:sz w:val="20"/>
        </w:rPr>
        <w:t>)</w:t>
      </w:r>
      <w:r w:rsidRPr="00D52996">
        <w:rPr>
          <w:rFonts w:ascii="Arial" w:hAnsi="Arial" w:cs="Arial"/>
          <w:sz w:val="20"/>
        </w:rPr>
        <w:t>, phone number</w:t>
      </w:r>
      <w:r w:rsidR="00D52996" w:rsidRPr="00D52996">
        <w:rPr>
          <w:rFonts w:ascii="Arial" w:hAnsi="Arial" w:cs="Arial"/>
          <w:sz w:val="20"/>
        </w:rPr>
        <w:t>(s)</w:t>
      </w:r>
    </w:p>
    <w:p w14:paraId="28784877" w14:textId="77777777" w:rsidR="00D52996" w:rsidRPr="00D52996" w:rsidRDefault="00D52996" w:rsidP="00D52996">
      <w:pPr>
        <w:rPr>
          <w:rFonts w:ascii="Arial" w:hAnsi="Arial" w:cs="Arial"/>
          <w:sz w:val="20"/>
        </w:rPr>
      </w:pPr>
    </w:p>
    <w:p w14:paraId="34EB90CF" w14:textId="1D9E3087" w:rsidR="00D52996" w:rsidRDefault="00BA61D2" w:rsidP="00D52996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</w:rPr>
      </w:pPr>
      <w:r w:rsidRPr="00D52996">
        <w:rPr>
          <w:rFonts w:ascii="Arial" w:hAnsi="Arial" w:cs="Arial"/>
          <w:sz w:val="20"/>
        </w:rPr>
        <w:t>Public Domain or Proprietary Solution (</w:t>
      </w:r>
      <w:r w:rsidR="006C4732" w:rsidRPr="00D52996">
        <w:rPr>
          <w:rFonts w:ascii="Arial" w:hAnsi="Arial" w:cs="Arial"/>
          <w:sz w:val="20"/>
        </w:rPr>
        <w:t xml:space="preserve">e.g., </w:t>
      </w:r>
      <w:r w:rsidRPr="00D52996">
        <w:rPr>
          <w:rFonts w:ascii="Arial" w:hAnsi="Arial" w:cs="Arial"/>
          <w:sz w:val="20"/>
        </w:rPr>
        <w:t>available for a fee)?</w:t>
      </w:r>
    </w:p>
    <w:p w14:paraId="58B87FEF" w14:textId="77777777" w:rsidR="00D52996" w:rsidRPr="00D52996" w:rsidRDefault="00D52996" w:rsidP="00D52996">
      <w:pPr>
        <w:rPr>
          <w:rFonts w:ascii="Arial" w:hAnsi="Arial" w:cs="Arial"/>
          <w:sz w:val="20"/>
        </w:rPr>
      </w:pPr>
    </w:p>
    <w:p w14:paraId="2F81B232" w14:textId="3440F510" w:rsidR="00EC1688" w:rsidRPr="00D52996" w:rsidRDefault="00EC1688" w:rsidP="00D52996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</w:rPr>
      </w:pPr>
      <w:r w:rsidRPr="00D52996">
        <w:rPr>
          <w:rFonts w:ascii="Arial" w:hAnsi="Arial" w:cs="Arial"/>
          <w:sz w:val="20"/>
        </w:rPr>
        <w:t>Description (</w:t>
      </w:r>
      <w:r w:rsidR="00BA61D2" w:rsidRPr="00D52996">
        <w:rPr>
          <w:rFonts w:ascii="Arial" w:hAnsi="Arial" w:cs="Arial"/>
          <w:sz w:val="20"/>
        </w:rPr>
        <w:t xml:space="preserve">Success </w:t>
      </w:r>
      <w:r w:rsidRPr="00D52996">
        <w:rPr>
          <w:rFonts w:ascii="Arial" w:hAnsi="Arial" w:cs="Arial"/>
          <w:sz w:val="20"/>
        </w:rPr>
        <w:t>Story)</w:t>
      </w:r>
      <w:r w:rsidR="00C73F65" w:rsidRPr="00D52996">
        <w:rPr>
          <w:rFonts w:ascii="Arial" w:hAnsi="Arial" w:cs="Arial"/>
          <w:sz w:val="20"/>
        </w:rPr>
        <w:t xml:space="preserve"> = SOLUTION</w:t>
      </w:r>
      <w:r w:rsidR="00D52996">
        <w:rPr>
          <w:rFonts w:ascii="Arial" w:hAnsi="Arial" w:cs="Arial"/>
          <w:sz w:val="20"/>
        </w:rPr>
        <w:t>(s)</w:t>
      </w:r>
    </w:p>
    <w:p w14:paraId="45569990" w14:textId="19FD7E6F" w:rsidR="000772C2" w:rsidRPr="006C4732" w:rsidRDefault="000772C2">
      <w:pPr>
        <w:rPr>
          <w:rFonts w:ascii="Arial" w:hAnsi="Arial" w:cs="Arial"/>
          <w:sz w:val="20"/>
        </w:rPr>
      </w:pPr>
    </w:p>
    <w:p w14:paraId="544DD76A" w14:textId="18B72F67" w:rsidR="00862CE3" w:rsidRDefault="00862C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42DE3A" w14:textId="7D908D62" w:rsidR="00862CE3" w:rsidRPr="006C4732" w:rsidRDefault="00862CE3" w:rsidP="007B0562">
      <w:pPr>
        <w:rPr>
          <w:rFonts w:ascii="Arial" w:hAnsi="Arial" w:cs="Arial"/>
          <w:sz w:val="20"/>
          <w:u w:val="single"/>
        </w:rPr>
      </w:pPr>
      <w:r w:rsidRPr="006C4732">
        <w:rPr>
          <w:rFonts w:ascii="Arial" w:hAnsi="Arial" w:cs="Arial"/>
          <w:sz w:val="20"/>
          <w:u w:val="single"/>
        </w:rPr>
        <w:lastRenderedPageBreak/>
        <w:t>Burden Topics</w:t>
      </w:r>
    </w:p>
    <w:p w14:paraId="637AD119" w14:textId="77777777" w:rsidR="00862CE3" w:rsidRPr="006C4732" w:rsidRDefault="00862CE3" w:rsidP="007B0562">
      <w:pPr>
        <w:rPr>
          <w:rFonts w:ascii="Arial" w:hAnsi="Arial" w:cs="Arial"/>
          <w:sz w:val="20"/>
        </w:rPr>
      </w:pPr>
    </w:p>
    <w:p w14:paraId="75C7326B" w14:textId="27542E24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1)  Generally</w:t>
      </w:r>
    </w:p>
    <w:p w14:paraId="75E62E0D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2)  Patient Safety (and Clinical Integrity)</w:t>
      </w:r>
    </w:p>
    <w:p w14:paraId="1A819A3E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3)  Administrative tasks</w:t>
      </w:r>
    </w:p>
    <w:p w14:paraId="7906F730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4)  Data entry requirements</w:t>
      </w:r>
    </w:p>
    <w:p w14:paraId="1B45F542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5)  Data entry scribes and proxies</w:t>
      </w:r>
    </w:p>
    <w:p w14:paraId="65DEB286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6)  Clinical documentation:  quality and usability</w:t>
      </w:r>
    </w:p>
    <w:p w14:paraId="2B73BECF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7)  Prior authorization, coverage verification, eligibility tasks</w:t>
      </w:r>
    </w:p>
    <w:p w14:paraId="126BD5E8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8)  Provider/patient face to face interaction</w:t>
      </w:r>
    </w:p>
    <w:p w14:paraId="4DF9DC6E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9)  Provider/patient communication</w:t>
      </w:r>
    </w:p>
    <w:p w14:paraId="058A35D1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10)  Care coordination, team-based care</w:t>
      </w:r>
    </w:p>
    <w:p w14:paraId="223F3BD7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11)  Clinical work flow</w:t>
      </w:r>
    </w:p>
    <w:p w14:paraId="6EE76152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12)  Disease management, care and treatment plans</w:t>
      </w:r>
    </w:p>
    <w:p w14:paraId="3D8D8C29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13)  Clinical decision support, medical logic, artificial intelligence</w:t>
      </w:r>
    </w:p>
    <w:p w14:paraId="7A46E705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14)  Alerts, reminders, notifications, inbox management</w:t>
      </w:r>
    </w:p>
    <w:p w14:paraId="0D199AC3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15)  Information overload</w:t>
      </w:r>
    </w:p>
    <w:p w14:paraId="2A52ECB4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16)  Transitions of care</w:t>
      </w:r>
    </w:p>
    <w:p w14:paraId="4A4F8244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17)  Health information exchange, claimed “interoperability”</w:t>
      </w:r>
    </w:p>
    <w:p w14:paraId="6745527A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18)  Medical/personal device integration</w:t>
      </w:r>
    </w:p>
    <w:p w14:paraId="697A021C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19)  Orders for equipment and supplies</w:t>
      </w:r>
    </w:p>
    <w:p w14:paraId="08AFECAD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20)  Support for payment, claims and reimbursement</w:t>
      </w:r>
    </w:p>
    <w:p w14:paraId="60177007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21)  Support for cost review</w:t>
      </w:r>
    </w:p>
    <w:p w14:paraId="7E31ABCF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22)  Support for measures:  administrative, operations, quality, performance, productivity, cost, utilization</w:t>
      </w:r>
    </w:p>
    <w:p w14:paraId="52991A49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23)  Support for public and population health</w:t>
      </w:r>
    </w:p>
    <w:p w14:paraId="5692468C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24)  Legal aspects and risks</w:t>
      </w:r>
    </w:p>
    <w:p w14:paraId="44A95581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25)  User training, user proficiency</w:t>
      </w:r>
    </w:p>
    <w:p w14:paraId="2F421E3D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26)  Common function, information and process models</w:t>
      </w:r>
    </w:p>
    <w:p w14:paraId="168EE4FA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27)  Software development and improvement priorities, end-user feedback</w:t>
      </w:r>
    </w:p>
    <w:p w14:paraId="02F303FF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28)  Product transparency</w:t>
      </w:r>
    </w:p>
    <w:p w14:paraId="3FECF174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29)  Product modularity</w:t>
      </w:r>
    </w:p>
    <w:p w14:paraId="7FF7C23C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30)  Lock-in, data liquidity, switching costs</w:t>
      </w:r>
    </w:p>
    <w:p w14:paraId="5EE3797F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31)  Financial burden</w:t>
      </w:r>
    </w:p>
    <w:p w14:paraId="57B8E729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32)  Security</w:t>
      </w:r>
    </w:p>
    <w:p w14:paraId="6B88EA8E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33)  Professional credentialing</w:t>
      </w:r>
    </w:p>
    <w:p w14:paraId="7E9B418B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34.1</w:t>
      </w:r>
      <w:proofErr w:type="gramStart"/>
      <w:r w:rsidRPr="006C4732">
        <w:rPr>
          <w:rFonts w:ascii="Arial" w:hAnsi="Arial" w:cs="Arial"/>
          <w:sz w:val="20"/>
        </w:rPr>
        <w:t>)  Identity</w:t>
      </w:r>
      <w:proofErr w:type="gramEnd"/>
      <w:r w:rsidRPr="006C4732">
        <w:rPr>
          <w:rFonts w:ascii="Arial" w:hAnsi="Arial" w:cs="Arial"/>
          <w:sz w:val="20"/>
        </w:rPr>
        <w:t xml:space="preserve"> matching</w:t>
      </w:r>
    </w:p>
    <w:p w14:paraId="252E6A5B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34.2</w:t>
      </w:r>
      <w:proofErr w:type="gramStart"/>
      <w:r w:rsidRPr="006C4732">
        <w:rPr>
          <w:rFonts w:ascii="Arial" w:hAnsi="Arial" w:cs="Arial"/>
          <w:sz w:val="20"/>
        </w:rPr>
        <w:t>)  Identity</w:t>
      </w:r>
      <w:proofErr w:type="gramEnd"/>
      <w:r w:rsidRPr="006C4732">
        <w:rPr>
          <w:rFonts w:ascii="Arial" w:hAnsi="Arial" w:cs="Arial"/>
          <w:sz w:val="20"/>
        </w:rPr>
        <w:t xml:space="preserve"> and credential management</w:t>
      </w:r>
    </w:p>
    <w:p w14:paraId="00B2FE74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35)  Data quality and integrity</w:t>
      </w:r>
    </w:p>
    <w:p w14:paraId="6DD85000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36)  Process integrity</w:t>
      </w:r>
    </w:p>
    <w:p w14:paraId="1E82021F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37.1</w:t>
      </w:r>
      <w:proofErr w:type="gramStart"/>
      <w:r w:rsidRPr="006C4732">
        <w:rPr>
          <w:rFonts w:ascii="Arial" w:hAnsi="Arial" w:cs="Arial"/>
          <w:sz w:val="20"/>
        </w:rPr>
        <w:t>)  Problem</w:t>
      </w:r>
      <w:proofErr w:type="gramEnd"/>
      <w:r w:rsidRPr="006C4732">
        <w:rPr>
          <w:rFonts w:ascii="Arial" w:hAnsi="Arial" w:cs="Arial"/>
          <w:sz w:val="20"/>
        </w:rPr>
        <w:t xml:space="preserve"> list</w:t>
      </w:r>
    </w:p>
    <w:p w14:paraId="7C98107C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37.2</w:t>
      </w:r>
      <w:proofErr w:type="gramStart"/>
      <w:r w:rsidRPr="006C4732">
        <w:rPr>
          <w:rFonts w:ascii="Arial" w:hAnsi="Arial" w:cs="Arial"/>
          <w:sz w:val="20"/>
        </w:rPr>
        <w:t>)  Medication</w:t>
      </w:r>
      <w:proofErr w:type="gramEnd"/>
      <w:r w:rsidRPr="006C4732">
        <w:rPr>
          <w:rFonts w:ascii="Arial" w:hAnsi="Arial" w:cs="Arial"/>
          <w:sz w:val="20"/>
        </w:rPr>
        <w:t xml:space="preserve"> list</w:t>
      </w:r>
    </w:p>
    <w:p w14:paraId="70BD7236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37.3</w:t>
      </w:r>
      <w:proofErr w:type="gramStart"/>
      <w:r w:rsidRPr="006C4732">
        <w:rPr>
          <w:rFonts w:ascii="Arial" w:hAnsi="Arial" w:cs="Arial"/>
          <w:sz w:val="20"/>
        </w:rPr>
        <w:t>)  Allergy</w:t>
      </w:r>
      <w:proofErr w:type="gramEnd"/>
      <w:r w:rsidRPr="006C4732">
        <w:rPr>
          <w:rFonts w:ascii="Arial" w:hAnsi="Arial" w:cs="Arial"/>
          <w:sz w:val="20"/>
        </w:rPr>
        <w:t xml:space="preserve"> list</w:t>
      </w:r>
    </w:p>
    <w:p w14:paraId="2ED3638D" w14:textId="77777777" w:rsidR="007C07E4" w:rsidRPr="006C4732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37.4</w:t>
      </w:r>
      <w:proofErr w:type="gramStart"/>
      <w:r w:rsidRPr="006C4732">
        <w:rPr>
          <w:rFonts w:ascii="Arial" w:hAnsi="Arial" w:cs="Arial"/>
          <w:sz w:val="20"/>
        </w:rPr>
        <w:t>)  Immunization</w:t>
      </w:r>
      <w:proofErr w:type="gramEnd"/>
      <w:r w:rsidRPr="006C4732">
        <w:rPr>
          <w:rFonts w:ascii="Arial" w:hAnsi="Arial" w:cs="Arial"/>
          <w:sz w:val="20"/>
        </w:rPr>
        <w:t xml:space="preserve"> list</w:t>
      </w:r>
    </w:p>
    <w:p w14:paraId="7E9EDB48" w14:textId="13C5E4AB" w:rsidR="007C07E4" w:rsidRDefault="00D03569" w:rsidP="007B0562">
      <w:pPr>
        <w:rPr>
          <w:rFonts w:ascii="Arial" w:hAnsi="Arial" w:cs="Arial"/>
          <w:sz w:val="20"/>
        </w:rPr>
      </w:pPr>
      <w:r w:rsidRPr="006C4732">
        <w:rPr>
          <w:rFonts w:ascii="Arial" w:hAnsi="Arial" w:cs="Arial"/>
          <w:sz w:val="20"/>
        </w:rPr>
        <w:t>37.5</w:t>
      </w:r>
      <w:proofErr w:type="gramStart"/>
      <w:r w:rsidRPr="006C4732">
        <w:rPr>
          <w:rFonts w:ascii="Arial" w:hAnsi="Arial" w:cs="Arial"/>
          <w:sz w:val="20"/>
        </w:rPr>
        <w:t>)  Surgery</w:t>
      </w:r>
      <w:proofErr w:type="gramEnd"/>
      <w:r w:rsidRPr="006C4732">
        <w:rPr>
          <w:rFonts w:ascii="Arial" w:hAnsi="Arial" w:cs="Arial"/>
          <w:sz w:val="20"/>
        </w:rPr>
        <w:t>, intervention and procedure list</w:t>
      </w:r>
    </w:p>
    <w:p w14:paraId="29E23AB5" w14:textId="5DAD7361" w:rsidR="00D52996" w:rsidRDefault="00D52996" w:rsidP="007B0562">
      <w:pPr>
        <w:rPr>
          <w:rFonts w:ascii="Arial" w:hAnsi="Arial" w:cs="Arial"/>
          <w:sz w:val="20"/>
        </w:rPr>
      </w:pPr>
    </w:p>
    <w:p w14:paraId="62304BB8" w14:textId="77777777" w:rsidR="00D52996" w:rsidRDefault="00D52996" w:rsidP="007B0562">
      <w:pPr>
        <w:rPr>
          <w:rFonts w:ascii="Arial" w:hAnsi="Arial" w:cs="Arial"/>
          <w:sz w:val="20"/>
        </w:rPr>
      </w:pPr>
    </w:p>
    <w:p w14:paraId="0FEC1320" w14:textId="1128C160" w:rsidR="00D52996" w:rsidRDefault="00954BDD" w:rsidP="007B05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HL7 EHR WG – </w:t>
      </w:r>
      <w:r w:rsidR="00D52996">
        <w:rPr>
          <w:rFonts w:ascii="Arial" w:hAnsi="Arial" w:cs="Arial"/>
          <w:sz w:val="20"/>
        </w:rPr>
        <w:t xml:space="preserve">RCB </w:t>
      </w:r>
      <w:r>
        <w:rPr>
          <w:rFonts w:ascii="Arial" w:hAnsi="Arial" w:cs="Arial"/>
          <w:sz w:val="20"/>
        </w:rPr>
        <w:t>p</w:t>
      </w:r>
      <w:r w:rsidR="00D52996">
        <w:rPr>
          <w:rFonts w:ascii="Arial" w:hAnsi="Arial" w:cs="Arial"/>
          <w:sz w:val="20"/>
        </w:rPr>
        <w:t xml:space="preserve">roject </w:t>
      </w:r>
      <w:r>
        <w:rPr>
          <w:rFonts w:ascii="Arial" w:hAnsi="Arial" w:cs="Arial"/>
          <w:sz w:val="20"/>
        </w:rPr>
        <w:t>m</w:t>
      </w:r>
      <w:r w:rsidR="00D52996">
        <w:rPr>
          <w:rFonts w:ascii="Arial" w:hAnsi="Arial" w:cs="Arial"/>
          <w:sz w:val="20"/>
        </w:rPr>
        <w:t xml:space="preserve">aterials </w:t>
      </w:r>
      <w:r>
        <w:rPr>
          <w:rFonts w:ascii="Arial" w:hAnsi="Arial" w:cs="Arial"/>
          <w:sz w:val="20"/>
        </w:rPr>
        <w:t xml:space="preserve">and reference sources </w:t>
      </w:r>
      <w:r w:rsidR="00D52996">
        <w:rPr>
          <w:rFonts w:ascii="Arial" w:hAnsi="Arial" w:cs="Arial"/>
          <w:sz w:val="20"/>
        </w:rPr>
        <w:t>are available here:</w:t>
      </w:r>
    </w:p>
    <w:p w14:paraId="7F79F6EC" w14:textId="3DF43BF8" w:rsidR="00D52996" w:rsidRDefault="00D52996" w:rsidP="007B056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hyperlink r:id="rId7" w:anchor="HL7_.22Reducing_Clinician_Burden.22_.28RCB.29_Project" w:history="1">
        <w:r w:rsidRPr="004269B1">
          <w:rPr>
            <w:rStyle w:val="Hyperlink"/>
            <w:rFonts w:ascii="Arial" w:hAnsi="Arial" w:cs="Arial"/>
            <w:sz w:val="16"/>
          </w:rPr>
          <w:t>http://wiki.hl7.org/index.php?title=EHR_Interoperability_WG#HL7_.22Reducing_Clinician_Burden.22_.28RCB.29_Project</w:t>
        </w:r>
      </w:hyperlink>
    </w:p>
    <w:p w14:paraId="0F2418C4" w14:textId="77777777" w:rsidR="00D52996" w:rsidRDefault="00D52996" w:rsidP="007B0562">
      <w:pPr>
        <w:rPr>
          <w:rFonts w:ascii="Arial" w:hAnsi="Arial" w:cs="Arial"/>
          <w:sz w:val="20"/>
        </w:rPr>
      </w:pPr>
    </w:p>
    <w:p w14:paraId="23390DB0" w14:textId="77777777" w:rsidR="00D52996" w:rsidRPr="006C4732" w:rsidRDefault="00D52996" w:rsidP="00862CE3">
      <w:pPr>
        <w:ind w:left="360"/>
        <w:rPr>
          <w:rFonts w:ascii="Arial" w:hAnsi="Arial" w:cs="Arial"/>
          <w:sz w:val="20"/>
        </w:rPr>
      </w:pPr>
    </w:p>
    <w:p w14:paraId="46A23D63" w14:textId="77777777" w:rsidR="00EC1688" w:rsidRPr="006C4732" w:rsidRDefault="00EC1688">
      <w:pPr>
        <w:rPr>
          <w:rFonts w:ascii="Arial" w:hAnsi="Arial" w:cs="Arial"/>
          <w:sz w:val="20"/>
        </w:rPr>
      </w:pPr>
    </w:p>
    <w:sectPr w:rsidR="00EC1688" w:rsidRPr="006C4732" w:rsidSect="00954BDD">
      <w:footerReference w:type="even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52EA1" w14:textId="77777777" w:rsidR="0019426B" w:rsidRDefault="0019426B" w:rsidP="00954BDD">
      <w:r>
        <w:separator/>
      </w:r>
    </w:p>
  </w:endnote>
  <w:endnote w:type="continuationSeparator" w:id="0">
    <w:p w14:paraId="1DAFD8B5" w14:textId="77777777" w:rsidR="0019426B" w:rsidRDefault="0019426B" w:rsidP="0095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087707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8F4866" w14:textId="789D8F9C" w:rsidR="00954BDD" w:rsidRDefault="00954BDD" w:rsidP="004269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ABC506" w14:textId="77777777" w:rsidR="00954BDD" w:rsidRDefault="00954BDD" w:rsidP="00954B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857209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2D0C6F" w14:textId="136614EE" w:rsidR="00954BDD" w:rsidRDefault="00954BDD" w:rsidP="004269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530359F" w14:textId="4E3DB21F" w:rsidR="00954BDD" w:rsidRPr="00954BDD" w:rsidRDefault="00954BDD" w:rsidP="00954BDD">
    <w:pPr>
      <w:pStyle w:val="Footer"/>
      <w:ind w:right="360"/>
      <w:rPr>
        <w:rFonts w:ascii="Arial" w:hAnsi="Arial" w:cs="Arial"/>
        <w:sz w:val="18"/>
        <w:szCs w:val="18"/>
      </w:rPr>
    </w:pPr>
    <w:r w:rsidRPr="00954BDD">
      <w:rPr>
        <w:rFonts w:ascii="Arial" w:hAnsi="Arial" w:cs="Arial"/>
        <w:sz w:val="18"/>
        <w:szCs w:val="18"/>
      </w:rPr>
      <w:t>HL7 EHR WG – “Reducing Clinician Burden” Project – Success Stories</w:t>
    </w:r>
  </w:p>
  <w:p w14:paraId="2FE729ED" w14:textId="42C4BAC0" w:rsidR="00954BDD" w:rsidRPr="00954BDD" w:rsidRDefault="007B0562" w:rsidP="00954BDD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Posted:  28</w:t>
    </w:r>
    <w:r w:rsidR="00954BDD" w:rsidRPr="00954BDD">
      <w:rPr>
        <w:rFonts w:ascii="Arial" w:hAnsi="Arial" w:cs="Arial"/>
        <w:sz w:val="18"/>
        <w:szCs w:val="18"/>
      </w:rPr>
      <w:t xml:space="preserve">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AD6C1" w14:textId="77777777" w:rsidR="0019426B" w:rsidRDefault="0019426B" w:rsidP="00954BDD">
      <w:r>
        <w:separator/>
      </w:r>
    </w:p>
  </w:footnote>
  <w:footnote w:type="continuationSeparator" w:id="0">
    <w:p w14:paraId="307CD0F7" w14:textId="77777777" w:rsidR="0019426B" w:rsidRDefault="0019426B" w:rsidP="0095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10E0"/>
    <w:multiLevelType w:val="hybridMultilevel"/>
    <w:tmpl w:val="155E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9AC"/>
    <w:multiLevelType w:val="hybridMultilevel"/>
    <w:tmpl w:val="41D8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378F"/>
    <w:multiLevelType w:val="hybridMultilevel"/>
    <w:tmpl w:val="32FC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75055"/>
    <w:multiLevelType w:val="hybridMultilevel"/>
    <w:tmpl w:val="DC48572A"/>
    <w:lvl w:ilvl="0" w:tplc="C5E42F2A">
      <w:start w:val="6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004C64"/>
    <w:multiLevelType w:val="hybridMultilevel"/>
    <w:tmpl w:val="DF66DB0E"/>
    <w:lvl w:ilvl="0" w:tplc="4AFE6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C8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27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0F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46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29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2A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47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83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88"/>
    <w:rsid w:val="00061FE1"/>
    <w:rsid w:val="000772C2"/>
    <w:rsid w:val="001606FA"/>
    <w:rsid w:val="0019426B"/>
    <w:rsid w:val="0020068C"/>
    <w:rsid w:val="002428FB"/>
    <w:rsid w:val="00583745"/>
    <w:rsid w:val="00643B03"/>
    <w:rsid w:val="006C4732"/>
    <w:rsid w:val="006F5A21"/>
    <w:rsid w:val="007B0562"/>
    <w:rsid w:val="007C07E4"/>
    <w:rsid w:val="0080308F"/>
    <w:rsid w:val="00862CE3"/>
    <w:rsid w:val="00881121"/>
    <w:rsid w:val="00954BDD"/>
    <w:rsid w:val="00A20296"/>
    <w:rsid w:val="00A25C32"/>
    <w:rsid w:val="00B80D8F"/>
    <w:rsid w:val="00BA61D2"/>
    <w:rsid w:val="00C73F65"/>
    <w:rsid w:val="00D03569"/>
    <w:rsid w:val="00D03C41"/>
    <w:rsid w:val="00D52996"/>
    <w:rsid w:val="00DC2772"/>
    <w:rsid w:val="00DF41AB"/>
    <w:rsid w:val="00E571E5"/>
    <w:rsid w:val="00EA6D91"/>
    <w:rsid w:val="00EC1688"/>
    <w:rsid w:val="00F119FA"/>
    <w:rsid w:val="00F2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1B25"/>
  <w14:defaultImageDpi w14:val="32767"/>
  <w15:chartTrackingRefBased/>
  <w15:docId w15:val="{674C832C-D005-7F4E-9131-D0E124B8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29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4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DD"/>
  </w:style>
  <w:style w:type="paragraph" w:styleId="Footer">
    <w:name w:val="footer"/>
    <w:basedOn w:val="Normal"/>
    <w:link w:val="FooterChar"/>
    <w:uiPriority w:val="99"/>
    <w:unhideWhenUsed/>
    <w:rsid w:val="00954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BDD"/>
  </w:style>
  <w:style w:type="character" w:styleId="PageNumber">
    <w:name w:val="page number"/>
    <w:basedOn w:val="DefaultParagraphFont"/>
    <w:uiPriority w:val="99"/>
    <w:semiHidden/>
    <w:unhideWhenUsed/>
    <w:rsid w:val="00954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0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4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iki.hl7.org/index.php?title=EHR_Interoperability_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Dickinson</dc:creator>
  <cp:keywords/>
  <dc:description/>
  <cp:lastModifiedBy>Gary Dickinson</cp:lastModifiedBy>
  <cp:revision>5</cp:revision>
  <dcterms:created xsi:type="dcterms:W3CDTF">2019-01-22T10:20:00Z</dcterms:created>
  <dcterms:modified xsi:type="dcterms:W3CDTF">2019-01-22T10:30:00Z</dcterms:modified>
</cp:coreProperties>
</file>